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75D17" w14:textId="77777777" w:rsidR="00AB3B19" w:rsidRDefault="00CF07A8">
      <w:pPr>
        <w:pStyle w:val="FootnoteText"/>
        <w:rPr>
          <w:b/>
        </w:rPr>
      </w:pPr>
      <w:r>
        <w:t>SELF-SELECTED APOLOGETICS ARGUMENT: ANALYSIS AND CRITIQUE – RESEARCH STAGE TEMPLATE</w:t>
      </w:r>
    </w:p>
    <w:p w14:paraId="0E8B187F" w14:textId="77777777" w:rsidR="00AB3B19" w:rsidRDefault="00AB3B19">
      <w:pPr>
        <w:spacing w:before="0" w:after="0"/>
        <w:jc w:val="center"/>
        <w:rPr>
          <w:b/>
        </w:rPr>
      </w:pPr>
    </w:p>
    <w:p w14:paraId="09376B26" w14:textId="77777777" w:rsidR="00AB3B19" w:rsidRDefault="00CF07A8">
      <w:pPr>
        <w:spacing w:before="0" w:after="0"/>
      </w:pPr>
      <w:r>
        <w:rPr>
          <w:b/>
        </w:rPr>
        <w:t>Type your name here</w:t>
      </w:r>
      <w:r>
        <w:t>:</w:t>
      </w:r>
    </w:p>
    <w:p w14:paraId="2E164E52" w14:textId="77777777" w:rsidR="00AB3B19" w:rsidRDefault="00CF07A8">
      <w:pPr>
        <w:pStyle w:val="FootnoteText"/>
      </w:pPr>
      <w:r>
        <w:t>Kingsley O. Nyakagwa</w:t>
      </w:r>
    </w:p>
    <w:p w14:paraId="28C77E80" w14:textId="77777777" w:rsidR="00AB3B19" w:rsidRDefault="00AB3B19">
      <w:pPr>
        <w:spacing w:before="0" w:after="0"/>
      </w:pPr>
    </w:p>
    <w:p w14:paraId="084CBEC2" w14:textId="77777777" w:rsidR="00AB3B19" w:rsidRDefault="00AB3B19">
      <w:pPr>
        <w:spacing w:before="0" w:after="0"/>
      </w:pPr>
    </w:p>
    <w:p w14:paraId="033ECC2E" w14:textId="77777777" w:rsidR="00AB3B19" w:rsidRDefault="00CF07A8">
      <w:pPr>
        <w:spacing w:before="0" w:after="0"/>
      </w:pPr>
      <w:r>
        <w:t xml:space="preserve">Make sure you review and understand the assignment instructions and the grading rubric before you attempt to complete any </w:t>
      </w:r>
      <w:r>
        <w:t>part of this template. Do not change any aspect of this template; and do not delete anything from it. Instead, type your content in the spaces provided. Before typing your content, you should review the entire template to be sure you understand what is req</w:t>
      </w:r>
      <w:r>
        <w:t>uired.</w:t>
      </w:r>
    </w:p>
    <w:p w14:paraId="1B2BC0ED" w14:textId="77777777" w:rsidR="00AB3B19" w:rsidRDefault="00AB3B19">
      <w:pPr>
        <w:spacing w:before="0" w:after="0"/>
      </w:pPr>
    </w:p>
    <w:p w14:paraId="78951120" w14:textId="77777777" w:rsidR="00AB3B19" w:rsidRDefault="00CF07A8">
      <w:pPr>
        <w:spacing w:before="0" w:after="0"/>
        <w:rPr>
          <w:rFonts w:eastAsia="Calibri"/>
        </w:rPr>
      </w:pPr>
      <w:r>
        <w:rPr>
          <w:b/>
        </w:rPr>
        <w:t>The purpose of this template is to provide you with a few major building blocks that can be incorporated into your final paper</w:t>
      </w:r>
      <w:r>
        <w:t>. In the sections provided below, you will insert your approved thesis statement, you will begin building the foundation f</w:t>
      </w:r>
      <w:r>
        <w:t>or what will become the first two major sections in the body of your final paper, and you will footnote after each bullet point and reference in the bibliography sources used in your bullet point formulations (at least two from the opposing worldview).</w:t>
      </w:r>
    </w:p>
    <w:p w14:paraId="09BEDEFB" w14:textId="77777777" w:rsidR="00AB3B19" w:rsidRDefault="00AB3B19">
      <w:pPr>
        <w:spacing w:before="0" w:after="0"/>
      </w:pPr>
    </w:p>
    <w:p w14:paraId="7A7CFB74" w14:textId="77777777" w:rsidR="00AB3B19" w:rsidRDefault="00AB3B19">
      <w:pPr>
        <w:spacing w:before="0" w:after="0"/>
        <w:rPr>
          <w:b/>
        </w:rPr>
      </w:pPr>
    </w:p>
    <w:p w14:paraId="27C77ACB" w14:textId="77777777" w:rsidR="00AB3B19" w:rsidRDefault="00CF07A8">
      <w:pPr>
        <w:numPr>
          <w:ilvl w:val="0"/>
          <w:numId w:val="1"/>
        </w:numPr>
        <w:spacing w:before="0" w:after="0"/>
        <w:ind w:hanging="270"/>
        <w:rPr>
          <w:b/>
        </w:rPr>
      </w:pPr>
      <w:r>
        <w:rPr>
          <w:b/>
        </w:rPr>
        <w:t>A</w:t>
      </w:r>
      <w:r>
        <w:rPr>
          <w:b/>
        </w:rPr>
        <w:t>pproved Thesis Statement</w:t>
      </w:r>
    </w:p>
    <w:p w14:paraId="2ABE75B8" w14:textId="77777777" w:rsidR="00AB3B19" w:rsidRDefault="00CF07A8">
      <w:pPr>
        <w:spacing w:before="120" w:after="0"/>
        <w:ind w:left="720"/>
      </w:pPr>
      <w:r>
        <w:t>Insert the approved thesis statement from the course’s first module in this section</w:t>
      </w:r>
    </w:p>
    <w:p w14:paraId="6DFA5911" w14:textId="36C4AAE4" w:rsidR="00AB3B19" w:rsidRDefault="00AB3B19" w:rsidP="00507800">
      <w:pPr>
        <w:spacing w:before="0" w:after="0"/>
      </w:pPr>
    </w:p>
    <w:p w14:paraId="10D2A443" w14:textId="7D45A539" w:rsidR="00507800" w:rsidRPr="00507800" w:rsidRDefault="00507800" w:rsidP="00507800">
      <w:pPr>
        <w:pStyle w:val="FootnoteText"/>
      </w:pPr>
      <w:r w:rsidRPr="00507800">
        <w:t> Religious pluralism contradicts the Gospel, but a careful analysis suggests that the Gospel is more coherent, intellectually compelling, and likely to be tru</w:t>
      </w:r>
      <w:r>
        <w:t>e.</w:t>
      </w:r>
    </w:p>
    <w:p w14:paraId="3837C5E1" w14:textId="77777777" w:rsidR="00AB3B19" w:rsidRDefault="00AB3B19">
      <w:pPr>
        <w:spacing w:before="0" w:after="0"/>
        <w:ind w:left="720"/>
        <w:rPr>
          <w:b/>
        </w:rPr>
      </w:pPr>
    </w:p>
    <w:p w14:paraId="4EAF275F" w14:textId="77777777" w:rsidR="00AB3B19" w:rsidRDefault="00AB3B19">
      <w:pPr>
        <w:spacing w:before="0" w:after="0"/>
        <w:ind w:left="720"/>
      </w:pPr>
    </w:p>
    <w:p w14:paraId="30865129" w14:textId="77777777" w:rsidR="00AB3B19" w:rsidRDefault="00CF07A8">
      <w:pPr>
        <w:spacing w:before="0" w:after="0"/>
        <w:rPr>
          <w:b/>
        </w:rPr>
      </w:pPr>
      <w:r>
        <w:rPr>
          <w:b/>
        </w:rPr>
        <w:t>The remainder of this form will help you begin working on what will become the fi</w:t>
      </w:r>
      <w:r>
        <w:rPr>
          <w:b/>
        </w:rPr>
        <w:t>rst two major sections of your final paper – the analysis and the critique of the worldview you are writing about.</w:t>
      </w:r>
    </w:p>
    <w:p w14:paraId="2BE47015" w14:textId="77777777" w:rsidR="00AB3B19" w:rsidRDefault="00CF07A8">
      <w:pPr>
        <w:spacing w:before="0" w:after="0"/>
      </w:pPr>
      <w:r>
        <w:t>The basic outline for your final paper should follow this structure:</w:t>
      </w:r>
    </w:p>
    <w:p w14:paraId="75AC9577" w14:textId="77777777" w:rsidR="00AB3B19" w:rsidRDefault="00CF07A8">
      <w:pPr>
        <w:numPr>
          <w:ilvl w:val="0"/>
          <w:numId w:val="2"/>
        </w:numPr>
        <w:spacing w:before="0" w:after="0"/>
      </w:pPr>
      <w:r>
        <w:t>Introduction</w:t>
      </w:r>
    </w:p>
    <w:p w14:paraId="78EEED23" w14:textId="77777777" w:rsidR="00AB3B19" w:rsidRDefault="00CF07A8">
      <w:pPr>
        <w:numPr>
          <w:ilvl w:val="0"/>
          <w:numId w:val="2"/>
        </w:numPr>
        <w:spacing w:before="0" w:after="0"/>
      </w:pPr>
      <w:r>
        <w:t>Analysis of Aspects of the Opposing Worldview</w:t>
      </w:r>
    </w:p>
    <w:p w14:paraId="010C621D" w14:textId="77777777" w:rsidR="00AB3B19" w:rsidRDefault="00CF07A8">
      <w:pPr>
        <w:numPr>
          <w:ilvl w:val="0"/>
          <w:numId w:val="2"/>
        </w:numPr>
        <w:spacing w:before="0" w:after="0"/>
      </w:pPr>
      <w:r>
        <w:t>Critique of A</w:t>
      </w:r>
      <w:r>
        <w:t>spects of the Opposing Worldview</w:t>
      </w:r>
    </w:p>
    <w:p w14:paraId="531C9287" w14:textId="77777777" w:rsidR="00AB3B19" w:rsidRDefault="00CF07A8">
      <w:pPr>
        <w:numPr>
          <w:ilvl w:val="0"/>
          <w:numId w:val="2"/>
        </w:numPr>
        <w:spacing w:before="0" w:after="0"/>
      </w:pPr>
      <w:r>
        <w:t>Defense of Christianity</w:t>
      </w:r>
    </w:p>
    <w:p w14:paraId="0A2E3464" w14:textId="77777777" w:rsidR="00AB3B19" w:rsidRDefault="00CF07A8">
      <w:pPr>
        <w:numPr>
          <w:ilvl w:val="0"/>
          <w:numId w:val="2"/>
        </w:numPr>
        <w:spacing w:before="0" w:after="0"/>
      </w:pPr>
      <w:r>
        <w:t>Conclusion</w:t>
      </w:r>
    </w:p>
    <w:p w14:paraId="299C9C1F" w14:textId="77777777" w:rsidR="00AB3B19" w:rsidRDefault="00AB3B19">
      <w:pPr>
        <w:spacing w:before="0" w:after="0"/>
      </w:pPr>
      <w:bookmarkStart w:id="0" w:name="OLE_LINK4"/>
      <w:bookmarkEnd w:id="0"/>
    </w:p>
    <w:p w14:paraId="781E2926" w14:textId="77777777" w:rsidR="00AB3B19" w:rsidRDefault="00CF07A8">
      <w:pPr>
        <w:spacing w:before="0" w:after="0"/>
      </w:pPr>
      <w:r>
        <w:t>In what follows, you will be crafting the building blocks that will eventually become sections II and III in the outline</w:t>
      </w:r>
    </w:p>
    <w:p w14:paraId="381D997B" w14:textId="77777777" w:rsidR="00AB3B19" w:rsidRDefault="00AB3B19">
      <w:pPr>
        <w:pStyle w:val="FootnoteText"/>
        <w:spacing w:after="0"/>
      </w:pPr>
    </w:p>
    <w:p w14:paraId="6295D521" w14:textId="77777777" w:rsidR="00AB3B19" w:rsidRDefault="00AB3B19">
      <w:pPr>
        <w:spacing w:before="0" w:after="0"/>
        <w:rPr>
          <w:b/>
        </w:rPr>
      </w:pPr>
    </w:p>
    <w:p w14:paraId="291E3DD6" w14:textId="77777777" w:rsidR="00AB3B19" w:rsidRDefault="00CF07A8">
      <w:pPr>
        <w:numPr>
          <w:ilvl w:val="0"/>
          <w:numId w:val="1"/>
        </w:numPr>
        <w:spacing w:before="0" w:after="0"/>
        <w:rPr>
          <w:b/>
        </w:rPr>
      </w:pPr>
      <w:r>
        <w:rPr>
          <w:b/>
        </w:rPr>
        <w:t xml:space="preserve"> Analysis of Aspects of the Opposing Worldview</w:t>
      </w:r>
    </w:p>
    <w:p w14:paraId="08371556" w14:textId="77777777" w:rsidR="00AB3B19" w:rsidRDefault="00CF07A8">
      <w:pPr>
        <w:spacing w:before="120" w:after="0"/>
        <w:ind w:left="720"/>
      </w:pPr>
      <w:r>
        <w:rPr>
          <w:b/>
        </w:rPr>
        <w:t xml:space="preserve">This </w:t>
      </w:r>
      <w:r>
        <w:rPr>
          <w:b/>
        </w:rPr>
        <w:t>section will form the building blocks of what will become the first major section in the body of your final paper (section II in the outline above)</w:t>
      </w:r>
      <w:r>
        <w:t xml:space="preserve">: Summarize the worldview by using aspects of its presuppositions and beliefs using one sentence per </w:t>
      </w:r>
      <w:r>
        <w:lastRenderedPageBreak/>
        <w:t>bullet p</w:t>
      </w:r>
      <w:r>
        <w:t>oint (revision and/or expansion of these bullet points is required in the next stage of the project). The number of bullet points needed will be determined by thesis and the quality of your research but at least two are required.</w:t>
      </w:r>
    </w:p>
    <w:p w14:paraId="443A2882" w14:textId="77777777" w:rsidR="00AB3B19" w:rsidRDefault="00AB3B19">
      <w:pPr>
        <w:spacing w:before="0" w:after="0"/>
        <w:ind w:left="1080"/>
      </w:pPr>
    </w:p>
    <w:p w14:paraId="0630D9C6" w14:textId="77777777" w:rsidR="00AB3B19" w:rsidRDefault="00CF07A8">
      <w:pPr>
        <w:numPr>
          <w:ilvl w:val="0"/>
          <w:numId w:val="3"/>
        </w:numPr>
      </w:pPr>
      <w:r>
        <w:t>Bullet point 1: The world</w:t>
      </w:r>
      <w:r>
        <w:t xml:space="preserve"> as it appears is ambiguous when it comes to religion- that is there is no inherent epistemological obstacle to experiencing and interpreting the world from the point of view of one religion rather than another, or indeed from a nonreligious perspective.</w:t>
      </w:r>
      <w:r>
        <w:rPr>
          <w:vertAlign w:val="superscript"/>
        </w:rPr>
        <w:t>1</w:t>
      </w:r>
    </w:p>
    <w:p w14:paraId="1B1F2C8A" w14:textId="77777777" w:rsidR="00AB3B19" w:rsidRDefault="00CF07A8">
      <w:pPr>
        <w:numPr>
          <w:ilvl w:val="0"/>
          <w:numId w:val="3"/>
        </w:numPr>
      </w:pPr>
      <w:r>
        <w:t>Bullet point 2: Religious pluralism is a response to the diversity of religious beliefs, practices and tradition that exist both in the contemporary world and throughout history.</w:t>
      </w:r>
    </w:p>
    <w:p w14:paraId="15FC7909" w14:textId="77777777" w:rsidR="00AB3B19" w:rsidRDefault="00CF07A8">
      <w:pPr>
        <w:numPr>
          <w:ilvl w:val="0"/>
          <w:numId w:val="3"/>
        </w:numPr>
      </w:pPr>
      <w:r>
        <w:t>Bullet point 3: The universality of religious experiences is best protected i</w:t>
      </w:r>
      <w:r>
        <w:t>f we treat every religion equal.</w:t>
      </w:r>
    </w:p>
    <w:p w14:paraId="11BC0C03" w14:textId="77777777" w:rsidR="00AB3B19" w:rsidRDefault="00CF07A8">
      <w:pPr>
        <w:numPr>
          <w:ilvl w:val="0"/>
          <w:numId w:val="3"/>
        </w:numPr>
      </w:pPr>
      <w:r>
        <w:t>Bullet point 4: Religious pluralism maintains that each religious tradition has some grounds for holding to its own beliefs and practices while no one tradition has grounds for claiming an exclusive or privileged status.</w:t>
      </w:r>
      <w:r>
        <w:rPr>
          <w:vertAlign w:val="superscript"/>
        </w:rPr>
        <w:t>2</w:t>
      </w:r>
    </w:p>
    <w:p w14:paraId="76259C57" w14:textId="77777777" w:rsidR="00AB3B19" w:rsidRDefault="00CF07A8">
      <w:pPr>
        <w:numPr>
          <w:ilvl w:val="0"/>
          <w:numId w:val="3"/>
        </w:numPr>
      </w:pPr>
      <w:r>
        <w:t>B</w:t>
      </w:r>
      <w:r>
        <w:t>ullet point 5: Where real conflict exists between beliefs held by different religious traditions, pluralists advocate that no one set of beliefs can be reasonably held as preferable to others.</w:t>
      </w:r>
      <w:r>
        <w:rPr>
          <w:vertAlign w:val="superscript"/>
        </w:rPr>
        <w:t>3</w:t>
      </w:r>
    </w:p>
    <w:p w14:paraId="1BEB99DD" w14:textId="77777777" w:rsidR="00AB3B19" w:rsidRDefault="00AB3B19">
      <w:pPr>
        <w:spacing w:before="0" w:after="0"/>
        <w:rPr>
          <w:b/>
        </w:rPr>
      </w:pPr>
    </w:p>
    <w:p w14:paraId="387A6843" w14:textId="77777777" w:rsidR="00AB3B19" w:rsidRDefault="00AB3B19">
      <w:pPr>
        <w:spacing w:before="0" w:after="0"/>
        <w:rPr>
          <w:b/>
        </w:rPr>
      </w:pPr>
    </w:p>
    <w:p w14:paraId="4AFE95ED" w14:textId="77777777" w:rsidR="00AB3B19" w:rsidRDefault="00AB3B19">
      <w:pPr>
        <w:pStyle w:val="FootnoteText"/>
        <w:spacing w:after="0"/>
        <w:rPr>
          <w:b/>
        </w:rPr>
      </w:pPr>
    </w:p>
    <w:p w14:paraId="23CA78CB" w14:textId="77777777" w:rsidR="00AB3B19" w:rsidRDefault="00AB3B19">
      <w:pPr>
        <w:pStyle w:val="FootnoteText"/>
        <w:spacing w:after="0"/>
        <w:rPr>
          <w:b/>
        </w:rPr>
      </w:pPr>
    </w:p>
    <w:p w14:paraId="2988D977" w14:textId="77777777" w:rsidR="00AB3B19" w:rsidRDefault="00AB3B19">
      <w:pPr>
        <w:pStyle w:val="FootnoteText"/>
        <w:spacing w:after="0"/>
        <w:rPr>
          <w:b/>
        </w:rPr>
      </w:pPr>
    </w:p>
    <w:p w14:paraId="020B7C48" w14:textId="77777777" w:rsidR="00AB3B19" w:rsidRDefault="00CF07A8">
      <w:pPr>
        <w:numPr>
          <w:ilvl w:val="0"/>
          <w:numId w:val="1"/>
        </w:numPr>
        <w:spacing w:before="0" w:after="0"/>
        <w:rPr>
          <w:b/>
        </w:rPr>
      </w:pPr>
      <w:r>
        <w:rPr>
          <w:b/>
        </w:rPr>
        <w:t>Critique of Aspects of the Opposing Worldview</w:t>
      </w:r>
    </w:p>
    <w:p w14:paraId="0DAB85AA" w14:textId="77777777" w:rsidR="00AB3B19" w:rsidRDefault="00CF07A8">
      <w:pPr>
        <w:spacing w:before="120" w:after="0"/>
        <w:ind w:left="720"/>
      </w:pPr>
      <w:r>
        <w:rPr>
          <w:b/>
        </w:rPr>
        <w:t>This sectio</w:t>
      </w:r>
      <w:r>
        <w:rPr>
          <w:b/>
        </w:rPr>
        <w:t>n is focused on helping you build what will become the second major section of the body of your final paper (section III in the outline above)</w:t>
      </w:r>
      <w:r>
        <w:t>: Evaluate aspects of your selected worldview in order to show where it fails to provide a rational, livable, comp</w:t>
      </w:r>
      <w:r>
        <w:t>rehensive system.</w:t>
      </w:r>
    </w:p>
    <w:p w14:paraId="08338462" w14:textId="77777777" w:rsidR="00AB3B19" w:rsidRDefault="00AB3B19">
      <w:pPr>
        <w:spacing w:before="0" w:after="0"/>
      </w:pPr>
    </w:p>
    <w:p w14:paraId="3B6A61DE" w14:textId="77777777" w:rsidR="00AB3B19" w:rsidRDefault="00CF07A8">
      <w:pPr>
        <w:numPr>
          <w:ilvl w:val="0"/>
          <w:numId w:val="3"/>
        </w:numPr>
        <w:spacing w:before="0" w:after="0"/>
      </w:pPr>
      <w:r>
        <w:t xml:space="preserve">Bullet point 1: For pluralism to function well everyone has to subscribe to it’s ideals therefore making it </w:t>
      </w:r>
      <w:r>
        <w:t>succumb to the same criticism that it levels against exclusivism</w:t>
      </w:r>
      <w:r>
        <w:t>.</w:t>
      </w:r>
      <w:r>
        <w:rPr>
          <w:vertAlign w:val="superscript"/>
        </w:rPr>
        <w:t>4</w:t>
      </w:r>
    </w:p>
    <w:p w14:paraId="7B395950" w14:textId="77777777" w:rsidR="00AB3B19" w:rsidRDefault="00AB3B19">
      <w:pPr>
        <w:spacing w:before="0" w:after="0"/>
        <w:ind w:left="720"/>
        <w:rPr>
          <w:vertAlign w:val="superscript"/>
        </w:rPr>
      </w:pPr>
    </w:p>
    <w:p w14:paraId="62243FD5" w14:textId="77777777" w:rsidR="00AB3B19" w:rsidRDefault="00AB3B19">
      <w:pPr>
        <w:spacing w:before="0" w:after="0"/>
        <w:rPr>
          <w:b/>
        </w:rPr>
      </w:pPr>
    </w:p>
    <w:p w14:paraId="23B1AC44" w14:textId="77777777" w:rsidR="00AB3B19" w:rsidRDefault="00AB3B19">
      <w:pPr>
        <w:spacing w:before="0" w:after="0"/>
        <w:rPr>
          <w:b/>
        </w:rPr>
      </w:pPr>
    </w:p>
    <w:p w14:paraId="722A7707" w14:textId="77777777" w:rsidR="00AB3B19" w:rsidRDefault="00CF07A8">
      <w:pPr>
        <w:numPr>
          <w:ilvl w:val="0"/>
          <w:numId w:val="1"/>
        </w:numPr>
        <w:spacing w:before="0" w:after="0"/>
        <w:rPr>
          <w:b/>
        </w:rPr>
      </w:pPr>
      <w:r>
        <w:rPr>
          <w:b/>
        </w:rPr>
        <w:t xml:space="preserve">Turabian bibliography (must be located on its own </w:t>
      </w:r>
      <w:r>
        <w:rPr>
          <w:b/>
        </w:rPr>
        <w:t>separate page; see below):</w:t>
      </w:r>
    </w:p>
    <w:p w14:paraId="62254EF0" w14:textId="77777777" w:rsidR="00AB3B19" w:rsidRDefault="00AB3B19">
      <w:pPr>
        <w:spacing w:before="0" w:after="0"/>
        <w:ind w:left="270"/>
        <w:rPr>
          <w:b/>
        </w:rPr>
      </w:pPr>
    </w:p>
    <w:p w14:paraId="4C522FB8" w14:textId="77777777" w:rsidR="00AB3B19" w:rsidRDefault="00CF07A8">
      <w:pPr>
        <w:spacing w:before="0" w:after="0"/>
        <w:ind w:left="270"/>
        <w:rPr>
          <w:b/>
        </w:rPr>
      </w:pPr>
      <w:r>
        <w:rPr>
          <w:rStyle w:val="FootnoteAnchor"/>
        </w:rPr>
        <w:footnoteReference w:id="1"/>
      </w:r>
    </w:p>
    <w:p w14:paraId="07FD7A37" w14:textId="77777777" w:rsidR="00AB3B19" w:rsidRDefault="00AB3B19">
      <w:pPr>
        <w:pStyle w:val="FootnoteText"/>
        <w:spacing w:after="0"/>
        <w:ind w:left="270" w:firstLine="0"/>
        <w:rPr>
          <w:rStyle w:val="PageNumber"/>
          <w:b/>
        </w:rPr>
      </w:pPr>
    </w:p>
    <w:p w14:paraId="224657B0" w14:textId="77777777" w:rsidR="00AB3B19" w:rsidRDefault="00CF07A8">
      <w:pPr>
        <w:numPr>
          <w:ilvl w:val="0"/>
          <w:numId w:val="3"/>
        </w:numPr>
        <w:spacing w:before="0" w:after="0"/>
      </w:pPr>
      <w:r>
        <w:t xml:space="preserve">Bullet point 2: Religious pluralism does not represent the attitudes </w:t>
      </w:r>
      <w:r>
        <w:t xml:space="preserve">and aspirations of many religions that basically see their own beliefs and practices uniquely suited to achieving a true salvation not offered by </w:t>
      </w:r>
      <w:r>
        <w:t>other traditions.</w:t>
      </w:r>
      <w:r>
        <w:rPr>
          <w:vertAlign w:val="superscript"/>
        </w:rPr>
        <w:t>5</w:t>
      </w:r>
    </w:p>
    <w:p w14:paraId="7F9ECE41" w14:textId="77777777" w:rsidR="00AB3B19" w:rsidRDefault="00AB3B19">
      <w:pPr>
        <w:pStyle w:val="FootnoteText"/>
        <w:spacing w:after="0"/>
        <w:rPr>
          <w:sz w:val="24"/>
          <w:vertAlign w:val="superscript"/>
        </w:rPr>
      </w:pPr>
    </w:p>
    <w:p w14:paraId="0A5B9338" w14:textId="77777777" w:rsidR="00AB3B19" w:rsidRDefault="00CF07A8">
      <w:pPr>
        <w:numPr>
          <w:ilvl w:val="0"/>
          <w:numId w:val="3"/>
        </w:numPr>
        <w:spacing w:before="0" w:after="0"/>
      </w:pPr>
      <w:r>
        <w:t xml:space="preserve">Bullet point 3: </w:t>
      </w:r>
      <w:r>
        <w:t xml:space="preserve">Pluralism camouflages the truth thus making it difficult to discover it. </w:t>
      </w:r>
    </w:p>
    <w:p w14:paraId="762B8BB4" w14:textId="77777777" w:rsidR="00AB3B19" w:rsidRDefault="00CF07A8">
      <w:pPr>
        <w:numPr>
          <w:ilvl w:val="0"/>
          <w:numId w:val="3"/>
        </w:numPr>
        <w:spacing w:before="0" w:after="0"/>
        <w:ind w:left="270" w:firstLine="0"/>
        <w:rPr>
          <w:b/>
        </w:rPr>
      </w:pPr>
      <w:r>
        <w:rPr>
          <w:rStyle w:val="PageNumber"/>
        </w:rPr>
        <w:t>Bullet point 4: It becomes more difficult to defend the necessity for apologetics if one adopts a pluralistic worldview.</w:t>
      </w:r>
      <w:r>
        <w:rPr>
          <w:rStyle w:val="PageNumber"/>
          <w:vertAlign w:val="superscript"/>
        </w:rPr>
        <w:t>6</w:t>
      </w:r>
    </w:p>
    <w:p w14:paraId="7F9B79B7" w14:textId="77777777" w:rsidR="00AB3B19" w:rsidRDefault="00CF07A8">
      <w:pPr>
        <w:spacing w:before="0" w:after="0"/>
        <w:ind w:left="990"/>
        <w:rPr>
          <w:b/>
        </w:rPr>
      </w:pPr>
      <w:r>
        <w:rPr>
          <w:rStyle w:val="FootnoteAnchor"/>
        </w:rPr>
        <w:footnoteReference w:id="2"/>
      </w:r>
    </w:p>
    <w:p w14:paraId="0A994F1B" w14:textId="77777777" w:rsidR="00AB3B19" w:rsidRDefault="00AB3B19">
      <w:pPr>
        <w:pStyle w:val="FootnoteText"/>
        <w:spacing w:after="0"/>
        <w:ind w:left="270" w:firstLine="0"/>
        <w:rPr>
          <w:rStyle w:val="PageNumber"/>
          <w:b/>
        </w:rPr>
      </w:pPr>
    </w:p>
    <w:p w14:paraId="367C6865" w14:textId="77777777" w:rsidR="00AB3B19" w:rsidRDefault="00AB3B19">
      <w:pPr>
        <w:pStyle w:val="FootnoteText"/>
        <w:spacing w:after="0"/>
        <w:ind w:left="270" w:firstLine="0"/>
        <w:rPr>
          <w:rStyle w:val="PageNumber"/>
          <w:b/>
        </w:rPr>
      </w:pPr>
    </w:p>
    <w:p w14:paraId="5DBDBD43" w14:textId="77777777" w:rsidR="00AB3B19" w:rsidRDefault="00AB3B19">
      <w:pPr>
        <w:pStyle w:val="FootnoteText"/>
        <w:spacing w:after="0"/>
        <w:ind w:left="270" w:firstLine="0"/>
        <w:rPr>
          <w:rStyle w:val="PageNumber"/>
          <w:b/>
        </w:rPr>
      </w:pPr>
    </w:p>
    <w:p w14:paraId="5312939F" w14:textId="77777777" w:rsidR="00AB3B19" w:rsidRDefault="00AB3B19">
      <w:pPr>
        <w:pStyle w:val="FootnoteText"/>
        <w:spacing w:after="0"/>
        <w:ind w:left="270" w:firstLine="0"/>
        <w:rPr>
          <w:rStyle w:val="PageNumber"/>
          <w:b/>
        </w:rPr>
      </w:pPr>
    </w:p>
    <w:p w14:paraId="0AB62444" w14:textId="77777777" w:rsidR="00AB3B19" w:rsidRDefault="00AB3B19">
      <w:pPr>
        <w:pStyle w:val="FootnoteText"/>
        <w:spacing w:after="0"/>
        <w:ind w:left="270" w:firstLine="0"/>
        <w:rPr>
          <w:rStyle w:val="PageNumber"/>
          <w:b/>
        </w:rPr>
      </w:pPr>
    </w:p>
    <w:p w14:paraId="0899EE97" w14:textId="77777777" w:rsidR="00AB3B19" w:rsidRDefault="00AB3B19">
      <w:pPr>
        <w:pStyle w:val="FootnoteText"/>
        <w:spacing w:after="0"/>
        <w:ind w:left="270" w:firstLine="0"/>
        <w:rPr>
          <w:rStyle w:val="PageNumber"/>
          <w:b/>
        </w:rPr>
      </w:pPr>
    </w:p>
    <w:p w14:paraId="1462DEF1" w14:textId="77777777" w:rsidR="00AB3B19" w:rsidRDefault="00AB3B19">
      <w:pPr>
        <w:pStyle w:val="FootnoteText"/>
        <w:spacing w:after="0"/>
        <w:ind w:left="270" w:firstLine="0"/>
        <w:rPr>
          <w:rStyle w:val="PageNumber"/>
          <w:b/>
        </w:rPr>
      </w:pPr>
    </w:p>
    <w:p w14:paraId="300F6CFD" w14:textId="77777777" w:rsidR="00AB3B19" w:rsidRDefault="00AB3B19">
      <w:pPr>
        <w:pStyle w:val="FootnoteText"/>
        <w:spacing w:after="0"/>
        <w:ind w:left="270" w:firstLine="0"/>
        <w:rPr>
          <w:rStyle w:val="PageNumber"/>
          <w:b/>
        </w:rPr>
      </w:pPr>
    </w:p>
    <w:p w14:paraId="5AD4EA8B" w14:textId="77777777" w:rsidR="00AB3B19" w:rsidRDefault="00AB3B19">
      <w:pPr>
        <w:pStyle w:val="FootnoteText"/>
        <w:spacing w:after="0"/>
        <w:ind w:left="270" w:firstLine="0"/>
        <w:rPr>
          <w:rStyle w:val="PageNumber"/>
          <w:b/>
        </w:rPr>
      </w:pPr>
    </w:p>
    <w:p w14:paraId="3536BF06" w14:textId="77777777" w:rsidR="00AB3B19" w:rsidRDefault="00AB3B19">
      <w:pPr>
        <w:pStyle w:val="FootnoteText"/>
        <w:spacing w:after="0"/>
        <w:ind w:left="270" w:firstLine="0"/>
        <w:rPr>
          <w:rStyle w:val="PageNumber"/>
          <w:b/>
        </w:rPr>
      </w:pPr>
    </w:p>
    <w:p w14:paraId="104B0B92" w14:textId="77777777" w:rsidR="00AB3B19" w:rsidRDefault="00AB3B19">
      <w:pPr>
        <w:pStyle w:val="FootnoteText"/>
        <w:spacing w:after="0"/>
        <w:ind w:left="270" w:firstLine="0"/>
        <w:rPr>
          <w:rStyle w:val="PageNumber"/>
          <w:b/>
        </w:rPr>
      </w:pPr>
    </w:p>
    <w:p w14:paraId="2A0790F8" w14:textId="77777777" w:rsidR="00AB3B19" w:rsidRDefault="00AB3B19">
      <w:pPr>
        <w:pStyle w:val="FootnoteText"/>
        <w:spacing w:after="0"/>
        <w:ind w:left="270" w:firstLine="0"/>
        <w:rPr>
          <w:rStyle w:val="PageNumber"/>
          <w:b/>
        </w:rPr>
      </w:pPr>
    </w:p>
    <w:p w14:paraId="7F514505" w14:textId="77777777" w:rsidR="00AB3B19" w:rsidRDefault="00AB3B19">
      <w:pPr>
        <w:pStyle w:val="FootnoteText"/>
        <w:spacing w:after="0"/>
        <w:ind w:left="270" w:firstLine="0"/>
        <w:rPr>
          <w:rStyle w:val="PageNumber"/>
          <w:b/>
        </w:rPr>
      </w:pPr>
    </w:p>
    <w:p w14:paraId="6BD1C33B" w14:textId="77777777" w:rsidR="00AB3B19" w:rsidRDefault="00AB3B19">
      <w:pPr>
        <w:spacing w:before="0" w:after="0"/>
        <w:ind w:left="270"/>
        <w:rPr>
          <w:b/>
        </w:rPr>
      </w:pPr>
    </w:p>
    <w:p w14:paraId="693B965B" w14:textId="77777777" w:rsidR="00AB3B19" w:rsidRDefault="00AB3B19">
      <w:pPr>
        <w:spacing w:before="0" w:after="0"/>
        <w:ind w:left="270"/>
        <w:rPr>
          <w:b/>
        </w:rPr>
      </w:pPr>
    </w:p>
    <w:p w14:paraId="2E041EDD" w14:textId="77777777" w:rsidR="00AB3B19" w:rsidRDefault="00AB3B19">
      <w:pPr>
        <w:spacing w:before="0" w:after="0"/>
        <w:ind w:left="270"/>
        <w:rPr>
          <w:b/>
        </w:rPr>
      </w:pPr>
    </w:p>
    <w:p w14:paraId="6F20DD26" w14:textId="77777777" w:rsidR="00AB3B19" w:rsidRDefault="00AB3B19">
      <w:pPr>
        <w:spacing w:before="0" w:after="0"/>
        <w:ind w:left="270"/>
        <w:rPr>
          <w:b/>
        </w:rPr>
      </w:pPr>
    </w:p>
    <w:p w14:paraId="5AD0E4FA" w14:textId="77777777" w:rsidR="00AB3B19" w:rsidRDefault="00AB3B19">
      <w:pPr>
        <w:spacing w:before="0" w:after="0"/>
        <w:ind w:left="270"/>
        <w:rPr>
          <w:b/>
        </w:rPr>
      </w:pPr>
    </w:p>
    <w:p w14:paraId="1AED337F" w14:textId="77777777" w:rsidR="00AB3B19" w:rsidRDefault="00AB3B19">
      <w:pPr>
        <w:spacing w:before="0" w:after="0"/>
        <w:ind w:left="270"/>
        <w:rPr>
          <w:b/>
        </w:rPr>
      </w:pPr>
    </w:p>
    <w:p w14:paraId="18DD5F76" w14:textId="77777777" w:rsidR="00AB3B19" w:rsidRDefault="00AB3B19">
      <w:pPr>
        <w:spacing w:before="0" w:after="0"/>
        <w:ind w:left="270"/>
        <w:rPr>
          <w:b/>
        </w:rPr>
      </w:pPr>
    </w:p>
    <w:p w14:paraId="7FA400EA" w14:textId="77777777" w:rsidR="00AB3B19" w:rsidRDefault="00AB3B19">
      <w:pPr>
        <w:spacing w:before="0" w:after="0"/>
        <w:ind w:left="270"/>
        <w:rPr>
          <w:b/>
        </w:rPr>
      </w:pPr>
    </w:p>
    <w:p w14:paraId="51C4030C" w14:textId="77777777" w:rsidR="00AB3B19" w:rsidRDefault="00AB3B19">
      <w:pPr>
        <w:spacing w:before="0" w:after="0"/>
        <w:ind w:left="270"/>
        <w:rPr>
          <w:b/>
        </w:rPr>
      </w:pPr>
    </w:p>
    <w:p w14:paraId="67B5CEE1" w14:textId="77777777" w:rsidR="00AB3B19" w:rsidRDefault="00AB3B19">
      <w:pPr>
        <w:spacing w:before="0" w:after="0"/>
        <w:jc w:val="center"/>
        <w:rPr>
          <w:b/>
          <w:bCs/>
        </w:rPr>
      </w:pPr>
    </w:p>
    <w:p w14:paraId="44CE80AE" w14:textId="77777777" w:rsidR="00AB3B19" w:rsidRDefault="00AB3B19">
      <w:pPr>
        <w:spacing w:before="0" w:after="0"/>
        <w:jc w:val="center"/>
        <w:rPr>
          <w:b/>
          <w:bCs/>
        </w:rPr>
      </w:pPr>
    </w:p>
    <w:p w14:paraId="412B5F1D" w14:textId="77777777" w:rsidR="00AB3B19" w:rsidRDefault="00AB3B19">
      <w:pPr>
        <w:spacing w:before="0" w:after="0"/>
        <w:jc w:val="center"/>
        <w:rPr>
          <w:b/>
          <w:bCs/>
        </w:rPr>
      </w:pPr>
    </w:p>
    <w:p w14:paraId="37ECB573" w14:textId="77777777" w:rsidR="00AB3B19" w:rsidRDefault="00AB3B19">
      <w:pPr>
        <w:spacing w:before="0" w:after="0"/>
        <w:jc w:val="center"/>
        <w:rPr>
          <w:b/>
          <w:bCs/>
        </w:rPr>
      </w:pPr>
    </w:p>
    <w:p w14:paraId="0EF9D56C" w14:textId="77777777" w:rsidR="00AB3B19" w:rsidRDefault="00AB3B19">
      <w:pPr>
        <w:spacing w:before="0" w:after="0"/>
        <w:jc w:val="center"/>
        <w:rPr>
          <w:b/>
          <w:bCs/>
        </w:rPr>
      </w:pPr>
    </w:p>
    <w:p w14:paraId="217D3F24" w14:textId="77777777" w:rsidR="00AB3B19" w:rsidRDefault="00AB3B19">
      <w:pPr>
        <w:spacing w:before="0" w:after="0"/>
        <w:jc w:val="center"/>
        <w:rPr>
          <w:b/>
          <w:bCs/>
        </w:rPr>
      </w:pPr>
    </w:p>
    <w:p w14:paraId="5CEC16AD" w14:textId="77777777" w:rsidR="00AB3B19" w:rsidRDefault="00AB3B19">
      <w:pPr>
        <w:spacing w:before="0" w:after="0"/>
        <w:jc w:val="center"/>
        <w:rPr>
          <w:b/>
          <w:bCs/>
        </w:rPr>
      </w:pPr>
    </w:p>
    <w:p w14:paraId="682ED971" w14:textId="77777777" w:rsidR="00AB3B19" w:rsidRDefault="00AB3B19">
      <w:pPr>
        <w:spacing w:before="0" w:after="0"/>
        <w:jc w:val="center"/>
        <w:rPr>
          <w:b/>
          <w:bCs/>
        </w:rPr>
      </w:pPr>
    </w:p>
    <w:p w14:paraId="6858A1C9" w14:textId="77777777" w:rsidR="00AB3B19" w:rsidRDefault="00AB3B19">
      <w:pPr>
        <w:spacing w:before="0" w:after="0"/>
        <w:jc w:val="center"/>
        <w:rPr>
          <w:b/>
          <w:bCs/>
        </w:rPr>
      </w:pPr>
    </w:p>
    <w:p w14:paraId="2B437EC7" w14:textId="77777777" w:rsidR="00AB3B19" w:rsidRDefault="00AB3B19">
      <w:pPr>
        <w:spacing w:before="0" w:after="0"/>
        <w:jc w:val="center"/>
        <w:rPr>
          <w:b/>
          <w:bCs/>
        </w:rPr>
      </w:pPr>
    </w:p>
    <w:p w14:paraId="57635B34" w14:textId="77777777" w:rsidR="00AB3B19" w:rsidRDefault="00AB3B19">
      <w:pPr>
        <w:spacing w:before="0" w:after="0"/>
        <w:jc w:val="center"/>
        <w:rPr>
          <w:b/>
          <w:bCs/>
        </w:rPr>
      </w:pPr>
    </w:p>
    <w:p w14:paraId="19AEBB9A" w14:textId="77777777" w:rsidR="00AB3B19" w:rsidRDefault="00AB3B19">
      <w:pPr>
        <w:spacing w:before="0" w:after="0"/>
        <w:jc w:val="center"/>
        <w:rPr>
          <w:b/>
          <w:bCs/>
        </w:rPr>
      </w:pPr>
    </w:p>
    <w:p w14:paraId="5F5FB106" w14:textId="77777777" w:rsidR="00AB3B19" w:rsidRDefault="00AB3B19">
      <w:pPr>
        <w:spacing w:before="0" w:after="0"/>
        <w:jc w:val="center"/>
        <w:rPr>
          <w:b/>
          <w:bCs/>
        </w:rPr>
      </w:pPr>
    </w:p>
    <w:p w14:paraId="75172837" w14:textId="77777777" w:rsidR="00AB3B19" w:rsidRDefault="00AB3B19">
      <w:pPr>
        <w:spacing w:before="0" w:after="0"/>
        <w:jc w:val="center"/>
        <w:rPr>
          <w:b/>
          <w:bCs/>
        </w:rPr>
      </w:pPr>
    </w:p>
    <w:p w14:paraId="146EBB8C" w14:textId="77777777" w:rsidR="00AB3B19" w:rsidRDefault="00AB3B19">
      <w:pPr>
        <w:pStyle w:val="FootnoteText"/>
        <w:spacing w:after="0"/>
        <w:jc w:val="center"/>
        <w:rPr>
          <w:b/>
          <w:bCs/>
        </w:rPr>
      </w:pPr>
    </w:p>
    <w:p w14:paraId="771D9D2F" w14:textId="77777777" w:rsidR="00AB3B19" w:rsidRDefault="00CF07A8">
      <w:pPr>
        <w:spacing w:before="0" w:after="0"/>
        <w:jc w:val="center"/>
        <w:rPr>
          <w:b/>
          <w:bCs/>
        </w:rPr>
      </w:pPr>
      <w:r>
        <w:rPr>
          <w:b/>
          <w:bCs/>
        </w:rPr>
        <w:t>Bibliography</w:t>
      </w:r>
    </w:p>
    <w:p w14:paraId="4623FE2C" w14:textId="77777777" w:rsidR="00AB3B19" w:rsidRDefault="00AB3B19">
      <w:pPr>
        <w:spacing w:before="0" w:after="0"/>
        <w:jc w:val="center"/>
        <w:rPr>
          <w:b/>
          <w:bCs/>
        </w:rPr>
      </w:pPr>
    </w:p>
    <w:p w14:paraId="6DDABF9D" w14:textId="77777777" w:rsidR="00AB3B19" w:rsidRDefault="00CF07A8">
      <w:pPr>
        <w:rPr>
          <w:b/>
        </w:rPr>
      </w:pPr>
      <w:r>
        <w:t xml:space="preserve">Alston, William. </w:t>
      </w:r>
      <w:r>
        <w:rPr>
          <w:i/>
          <w:iCs/>
        </w:rPr>
        <w:t>Perceiving God: the Epistemology of Religious Belief.</w:t>
      </w:r>
      <w:r>
        <w:t xml:space="preserve"> Ithaca, NY: Cornell UP, 1993.</w:t>
      </w:r>
    </w:p>
    <w:p w14:paraId="7BF5DDDF" w14:textId="77777777" w:rsidR="00AB3B19" w:rsidRDefault="00CF07A8">
      <w:pPr>
        <w:rPr>
          <w:b/>
        </w:rPr>
      </w:pPr>
      <w:r>
        <w:t>Griffiths, Paul J. An Apology for Apologetics. Maryknoll, NY: Orbis, 1991.</w:t>
      </w:r>
    </w:p>
    <w:p w14:paraId="224DAD53" w14:textId="77777777" w:rsidR="00AB3B19" w:rsidRDefault="00CF07A8">
      <w:pPr>
        <w:rPr>
          <w:b/>
        </w:rPr>
      </w:pPr>
      <w:r>
        <w:t xml:space="preserve">Hick, John. </w:t>
      </w:r>
      <w:r>
        <w:rPr>
          <w:i/>
          <w:iCs/>
        </w:rPr>
        <w:t xml:space="preserve">An Interpretation of </w:t>
      </w:r>
      <w:r>
        <w:rPr>
          <w:i/>
          <w:iCs/>
        </w:rPr>
        <w:t>Religion.</w:t>
      </w:r>
      <w:r>
        <w:t xml:space="preserve"> 2</w:t>
      </w:r>
      <w:r>
        <w:rPr>
          <w:vertAlign w:val="superscript"/>
        </w:rPr>
        <w:t>nd</w:t>
      </w:r>
      <w:r>
        <w:t xml:space="preserve"> ed. New Haven, CT: Yale UP, 2004</w:t>
      </w:r>
    </w:p>
    <w:p w14:paraId="18FEFFA1" w14:textId="77777777" w:rsidR="00AB3B19" w:rsidRDefault="00CF07A8">
      <w:pPr>
        <w:jc w:val="both"/>
        <w:rPr>
          <w:b/>
        </w:rPr>
      </w:pPr>
      <w:r>
        <w:t xml:space="preserve">Hick, John and Paul F. Knitter, eds. </w:t>
      </w:r>
      <w:r>
        <w:rPr>
          <w:i/>
          <w:iCs/>
        </w:rPr>
        <w:t>The Myth of Christian Uniqueness</w:t>
      </w:r>
      <w:r>
        <w:t>. Maryknoll, NY: Orbis, 1987.</w:t>
      </w:r>
    </w:p>
    <w:p w14:paraId="09A178FE" w14:textId="77777777" w:rsidR="00AB3B19" w:rsidRDefault="00CF07A8">
      <w:pPr>
        <w:jc w:val="both"/>
        <w:rPr>
          <w:b/>
        </w:rPr>
      </w:pPr>
      <w:r>
        <w:t xml:space="preserve">HUTCHISON, W.  </w:t>
      </w:r>
      <w:r>
        <w:rPr>
          <w:i/>
          <w:iCs/>
        </w:rPr>
        <w:t>Introduction: Religious Pluralism as a Work in Progress. In Religious Pluralism in America: The</w:t>
      </w:r>
      <w:r>
        <w:rPr>
          <w:i/>
          <w:iCs/>
        </w:rPr>
        <w:t xml:space="preserve"> Contentious History of a Founding Ideal.</w:t>
      </w:r>
      <w:r>
        <w:t xml:space="preserve">  New Haven: Yale University Press., 2003</w:t>
      </w:r>
    </w:p>
    <w:p w14:paraId="12AB4FEA" w14:textId="77777777" w:rsidR="00AB3B19" w:rsidRDefault="00CF07A8">
      <w:pPr>
        <w:jc w:val="both"/>
        <w:rPr>
          <w:b/>
        </w:rPr>
      </w:pPr>
      <w:r>
        <w:t xml:space="preserve">James, William. </w:t>
      </w:r>
      <w:r>
        <w:rPr>
          <w:i/>
          <w:iCs/>
        </w:rPr>
        <w:t>The Varieties of Religious Experience</w:t>
      </w:r>
      <w:r>
        <w:t>. New York: Routledge, 2002.</w:t>
      </w:r>
    </w:p>
    <w:p w14:paraId="51257ADB" w14:textId="77777777" w:rsidR="00AB3B19" w:rsidRDefault="00CF07A8">
      <w:pPr>
        <w:rPr>
          <w:b/>
        </w:rPr>
      </w:pPr>
      <w:r>
        <w:t xml:space="preserve">Ogden, Schubert M. </w:t>
      </w:r>
      <w:r>
        <w:rPr>
          <w:i/>
          <w:iCs/>
        </w:rPr>
        <w:t>Is There Only One True Religion or Are There Many?</w:t>
      </w:r>
      <w:r>
        <w:t xml:space="preserve"> Dallas: SMU P, 1992.</w:t>
      </w:r>
    </w:p>
    <w:p w14:paraId="25E6FBE7" w14:textId="77777777" w:rsidR="00AB3B19" w:rsidRDefault="00CF07A8">
      <w:r>
        <w:t xml:space="preserve">Plantiga, Alvin. Pluralism: </w:t>
      </w:r>
      <w:r>
        <w:rPr>
          <w:i/>
          <w:iCs/>
        </w:rPr>
        <w:t>A Defense of Religious Exclusivism.” The Rationality of Belief and the Plurality of Faith: Essays in Honor of William P. Alston. Ed. Thomas D. Senor. Ithaca,</w:t>
      </w:r>
      <w:r>
        <w:t xml:space="preserve"> NY: Cornel UP, 1995.</w:t>
      </w:r>
    </w:p>
    <w:p w14:paraId="295A8651" w14:textId="77777777" w:rsidR="00AB3B19" w:rsidRDefault="00CF07A8">
      <w:pPr>
        <w:spacing w:before="120" w:after="0"/>
      </w:pPr>
      <w:r>
        <w:t xml:space="preserve">Wuthnow, Robert. </w:t>
      </w:r>
      <w:r>
        <w:rPr>
          <w:i/>
          <w:iCs/>
        </w:rPr>
        <w:t>America and the challenges of re</w:t>
      </w:r>
      <w:r>
        <w:rPr>
          <w:i/>
          <w:iCs/>
        </w:rPr>
        <w:t>ligious diversity.</w:t>
      </w:r>
      <w:r>
        <w:t xml:space="preserve"> Princeton, N.J: Oxford: Princeton University Press, 2007.</w:t>
      </w:r>
    </w:p>
    <w:p w14:paraId="10DF8A26" w14:textId="77777777" w:rsidR="00AB3B19" w:rsidRDefault="00AB3B19">
      <w:pPr>
        <w:pStyle w:val="FootnoteText"/>
        <w:spacing w:before="120" w:after="0"/>
        <w:ind w:firstLine="0"/>
      </w:pPr>
    </w:p>
    <w:p w14:paraId="6AC39A89" w14:textId="77777777" w:rsidR="00AB3B19" w:rsidRDefault="00AB3B19">
      <w:pPr>
        <w:pStyle w:val="FootnoteText"/>
        <w:spacing w:before="120" w:after="0"/>
        <w:ind w:firstLine="0"/>
      </w:pPr>
    </w:p>
    <w:p w14:paraId="6D0C6597" w14:textId="77777777" w:rsidR="00AB3B19" w:rsidRDefault="00CF07A8">
      <w:pPr>
        <w:pStyle w:val="FootnoteText"/>
        <w:rPr>
          <w:rStyle w:val="PageNumber"/>
        </w:rPr>
      </w:pPr>
      <w:r>
        <w:br w:type="page"/>
      </w:r>
    </w:p>
    <w:p w14:paraId="0FA23A4F" w14:textId="77777777" w:rsidR="00AB3B19" w:rsidRDefault="00AB3B19">
      <w:pPr>
        <w:pStyle w:val="FootnoteText"/>
        <w:ind w:firstLine="0"/>
      </w:pPr>
    </w:p>
    <w:sectPr w:rsidR="00AB3B19">
      <w:footerReference w:type="default" r:id="rId8"/>
      <w:footerReference w:type="first" r:id="rId9"/>
      <w:pgSz w:w="12240" w:h="15840"/>
      <w:pgMar w:top="1440" w:right="1440" w:bottom="720" w:left="1440" w:header="0" w:footer="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E6886" w14:textId="77777777" w:rsidR="00CF07A8" w:rsidRDefault="00CF07A8">
      <w:pPr>
        <w:spacing w:before="0" w:after="0"/>
      </w:pPr>
      <w:r>
        <w:separator/>
      </w:r>
    </w:p>
  </w:endnote>
  <w:endnote w:type="continuationSeparator" w:id="0">
    <w:p w14:paraId="2E1CB26C" w14:textId="77777777" w:rsidR="00CF07A8" w:rsidRDefault="00CF07A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Lucida Grande">
    <w:charset w:val="00"/>
    <w:family w:val="roman"/>
    <w:pitch w:val="variable"/>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BE6E4" w14:textId="77777777" w:rsidR="00AB3B19" w:rsidRDefault="00AB3B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17CD5" w14:textId="77777777" w:rsidR="00AB3B19" w:rsidRDefault="00AB3B19">
    <w:pPr>
      <w:pStyle w:val="FootnoteText"/>
      <w:ind w:firstLine="0"/>
      <w:rPr>
        <w:rStyle w:val="PageNumber"/>
        <w:vertAlign w:val="superscript"/>
      </w:rPr>
    </w:pPr>
  </w:p>
  <w:p w14:paraId="13FEA503" w14:textId="77777777" w:rsidR="00AB3B19" w:rsidRDefault="00AB3B19">
    <w:pPr>
      <w:pStyle w:val="FootnoteText"/>
      <w:rPr>
        <w:rStyle w:val="PageNumbe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31612A" w14:textId="77777777" w:rsidR="00CF07A8" w:rsidRDefault="00CF07A8">
      <w:r>
        <w:separator/>
      </w:r>
    </w:p>
  </w:footnote>
  <w:footnote w:type="continuationSeparator" w:id="0">
    <w:p w14:paraId="5DE73113" w14:textId="77777777" w:rsidR="00CF07A8" w:rsidRDefault="00CF07A8">
      <w:r>
        <w:continuationSeparator/>
      </w:r>
    </w:p>
  </w:footnote>
  <w:footnote w:id="1">
    <w:p w14:paraId="469B7636" w14:textId="77777777" w:rsidR="00AB3B19" w:rsidRDefault="00CF07A8">
      <w:pPr>
        <w:pStyle w:val="FootnoteText"/>
      </w:pPr>
      <w:r>
        <w:rPr>
          <w:rStyle w:val="FootnoteCharacters"/>
        </w:rPr>
        <w:footnoteRef/>
      </w:r>
      <w:r>
        <w:rPr>
          <w:rStyle w:val="PageNumber"/>
          <w:vertAlign w:val="superscript"/>
        </w:rPr>
        <w:t>1</w:t>
      </w:r>
      <w:r>
        <w:rPr>
          <w:rStyle w:val="PageNumber"/>
        </w:rPr>
        <w:t xml:space="preserve">Hick, John.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124</w:t>
      </w:r>
    </w:p>
    <w:p w14:paraId="5512C7ED" w14:textId="77777777" w:rsidR="00AB3B19" w:rsidRDefault="00CF07A8">
      <w:pPr>
        <w:pStyle w:val="FootnoteText"/>
      </w:pPr>
      <w:r>
        <w:rPr>
          <w:rStyle w:val="PageNumber"/>
          <w:vertAlign w:val="superscript"/>
        </w:rPr>
        <w:t>2</w:t>
      </w:r>
      <w:r>
        <w:rPr>
          <w:rStyle w:val="PageNumber"/>
        </w:rPr>
        <w:t>Ibid., 176</w:t>
      </w:r>
    </w:p>
    <w:p w14:paraId="4C8CAA36" w14:textId="77777777" w:rsidR="00AB3B19" w:rsidRDefault="00CF07A8">
      <w:pPr>
        <w:pStyle w:val="FootnoteText"/>
      </w:pPr>
      <w:r>
        <w:rPr>
          <w:rStyle w:val="PageNumber"/>
          <w:vertAlign w:val="superscript"/>
        </w:rPr>
        <w:t>3</w:t>
      </w:r>
      <w:r>
        <w:rPr>
          <w:rStyle w:val="PageNumber"/>
        </w:rPr>
        <w:t xml:space="preserve">Wuthnow, Robert. </w:t>
      </w:r>
      <w:r>
        <w:rPr>
          <w:rStyle w:val="PageNumber"/>
          <w:i/>
          <w:iCs/>
        </w:rPr>
        <w:t xml:space="preserve">America and the </w:t>
      </w:r>
      <w:r>
        <w:rPr>
          <w:rStyle w:val="PageNumber"/>
          <w:i/>
          <w:iCs/>
        </w:rPr>
        <w:t>challenges of religious diversity.</w:t>
      </w:r>
      <w:r>
        <w:rPr>
          <w:rStyle w:val="PageNumber"/>
        </w:rPr>
        <w:t xml:space="preserve"> (Princeton, N.J: Oxford:</w:t>
      </w:r>
      <w:r>
        <w:br w:type="page"/>
      </w:r>
    </w:p>
    <w:p w14:paraId="4B6AAEA9" w14:textId="77777777" w:rsidR="00AB3B19" w:rsidRDefault="00CF07A8">
      <w:pPr>
        <w:pStyle w:val="FootnoteText"/>
      </w:pPr>
      <w:r>
        <w:rPr>
          <w:rStyle w:val="PageNumber"/>
        </w:rPr>
        <w:t xml:space="preserve"> Princeton University Press, 2007), 124</w:t>
      </w:r>
    </w:p>
    <w:p w14:paraId="56BB6974" w14:textId="77777777" w:rsidR="00AB3B19" w:rsidRDefault="00CF07A8">
      <w:pPr>
        <w:pStyle w:val="FootnoteText"/>
        <w:rPr>
          <w:b/>
        </w:rPr>
      </w:pPr>
      <w:r>
        <w:rPr>
          <w:rStyle w:val="PageNumber"/>
          <w:vertAlign w:val="superscript"/>
        </w:rPr>
        <w:t>4</w:t>
      </w:r>
      <w:r>
        <w:rPr>
          <w:rStyle w:val="PageNumber"/>
        </w:rPr>
        <w:t xml:space="preserve">Plantiga, Alvin. Pluralism: </w:t>
      </w:r>
      <w:r>
        <w:rPr>
          <w:rStyle w:val="PageNumber"/>
          <w:i/>
          <w:iCs/>
        </w:rPr>
        <w:t>A Defense of Religious Exclusivism.” The Rationality of Belief and the Plurality of Faith: Essays in Honor of William P. Alsto</w:t>
      </w:r>
      <w:r>
        <w:rPr>
          <w:rStyle w:val="PageNumber"/>
          <w:i/>
          <w:iCs/>
        </w:rPr>
        <w:t xml:space="preserve">n. Ed. Thomas D. Senor. </w:t>
      </w:r>
      <w:r>
        <w:rPr>
          <w:rStyle w:val="PageNumber"/>
        </w:rPr>
        <w:t xml:space="preserve">(Ithaca, </w:t>
      </w:r>
      <w:r>
        <w:rPr>
          <w:rStyle w:val="PageNumber"/>
        </w:rPr>
        <w:t>NY: Cornel UP, 1995), 200</w:t>
      </w:r>
    </w:p>
  </w:footnote>
  <w:footnote w:id="2">
    <w:p w14:paraId="6EC95BBB" w14:textId="77777777" w:rsidR="00AB3B19" w:rsidRDefault="00CF07A8">
      <w:pPr>
        <w:spacing w:before="0" w:after="220"/>
        <w:rPr>
          <w:b/>
        </w:rPr>
      </w:pPr>
      <w:r>
        <w:rPr>
          <w:rStyle w:val="FootnoteCharacters"/>
        </w:rPr>
        <w:footnoteRef/>
      </w:r>
      <w:r>
        <w:rPr>
          <w:rStyle w:val="PageNumber"/>
          <w:vertAlign w:val="superscript"/>
        </w:rPr>
        <w:tab/>
        <w:t>5</w:t>
      </w:r>
      <w:r>
        <w:rPr>
          <w:rStyle w:val="PageNumber"/>
        </w:rPr>
        <w:t xml:space="preserve">Plantiga, Alvin. Pluralism: </w:t>
      </w:r>
      <w:r>
        <w:rPr>
          <w:rStyle w:val="PageNumber"/>
          <w:i/>
          <w:iCs/>
        </w:rPr>
        <w:t xml:space="preserve">A Defense of Religious Exclusivism.” The Rationality of Belief and the Plurality of Faith: Essays in Honor of William P. Alston. Ed. Thomas D. Senor. </w:t>
      </w:r>
      <w:r>
        <w:rPr>
          <w:rStyle w:val="PageNumber"/>
        </w:rPr>
        <w:t xml:space="preserve">(Ithaca, </w:t>
      </w:r>
      <w:r>
        <w:rPr>
          <w:rStyle w:val="PageNumber"/>
        </w:rPr>
        <w:t>NY: Cor</w:t>
      </w:r>
      <w:r>
        <w:rPr>
          <w:rStyle w:val="PageNumber"/>
        </w:rPr>
        <w:t>nel UP, 1995), 200</w:t>
      </w:r>
    </w:p>
    <w:p w14:paraId="3DD117E9" w14:textId="77777777" w:rsidR="00AB3B19" w:rsidRDefault="00CF07A8">
      <w:pPr>
        <w:rPr>
          <w:b/>
        </w:rPr>
      </w:pPr>
      <w:r>
        <w:rPr>
          <w:rStyle w:val="PageNumber"/>
          <w:vertAlign w:val="superscript"/>
        </w:rPr>
        <w:tab/>
        <w:t>6</w:t>
      </w:r>
      <w:r>
        <w:rPr>
          <w:rStyle w:val="PageNumber"/>
        </w:rPr>
        <w:t>Griffiths, Paul J. An Apology for Apologetics. (Maryknoll, NY: Orbis, 1991),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35A86"/>
    <w:multiLevelType w:val="multilevel"/>
    <w:tmpl w:val="1F66E03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6724E4"/>
    <w:multiLevelType w:val="multilevel"/>
    <w:tmpl w:val="EF20689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621F7F55"/>
    <w:multiLevelType w:val="multilevel"/>
    <w:tmpl w:val="537628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4FF2BFF"/>
    <w:multiLevelType w:val="multilevel"/>
    <w:tmpl w:val="21669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B19"/>
    <w:rsid w:val="00507800"/>
    <w:rsid w:val="00AB3B19"/>
    <w:rsid w:val="00CF07A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94C9"/>
  <w15:docId w15:val="{7F750EBC-7984-4FC3-B612-2E349F1D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FootnoteText"/>
    <w:autoRedefine/>
    <w:qFormat/>
    <w:rsid w:val="00586A21"/>
    <w:pPr>
      <w:spacing w:before="57" w:after="57"/>
    </w:pPr>
    <w:rPr>
      <w:rFonts w:ascii="Times New Roman" w:hAnsi="Times New Roman"/>
      <w:sz w:val="24"/>
      <w:szCs w:val="24"/>
    </w:rPr>
  </w:style>
  <w:style w:type="paragraph" w:styleId="Heading1">
    <w:name w:val="heading 1"/>
    <w:basedOn w:val="Normal"/>
    <w:next w:val="Normal"/>
    <w:link w:val="Heading1Char"/>
    <w:uiPriority w:val="9"/>
    <w:qFormat/>
    <w:rsid w:val="00EB2950"/>
    <w:pPr>
      <w:keepNext/>
      <w:keepLines/>
      <w:spacing w:before="480" w:after="0"/>
      <w:outlineLvl w:val="0"/>
    </w:pPr>
    <w:rPr>
      <w:rFonts w:ascii="Calibri" w:eastAsia="MS Gothic" w:hAnsi="Calibri"/>
      <w:b/>
      <w:bCs/>
      <w:color w:val="345A8A"/>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684F34"/>
    <w:rPr>
      <w:rFonts w:ascii="Lucida Grande" w:hAnsi="Lucida Grande"/>
      <w:sz w:val="18"/>
      <w:szCs w:val="18"/>
    </w:rPr>
  </w:style>
  <w:style w:type="character" w:customStyle="1" w:styleId="FootnoteTextChar">
    <w:name w:val="Footnote Text Char"/>
    <w:link w:val="FootnoteText"/>
    <w:uiPriority w:val="99"/>
    <w:qFormat/>
    <w:rsid w:val="00B717D1"/>
    <w:rPr>
      <w:rFonts w:ascii="Times New Roman" w:hAnsi="Times New Roman"/>
      <w:sz w:val="22"/>
      <w:szCs w:val="24"/>
    </w:rPr>
  </w:style>
  <w:style w:type="character" w:customStyle="1" w:styleId="Heading1Char">
    <w:name w:val="Heading 1 Char"/>
    <w:link w:val="Heading1"/>
    <w:uiPriority w:val="9"/>
    <w:qFormat/>
    <w:rsid w:val="00EB2950"/>
    <w:rPr>
      <w:rFonts w:ascii="Calibri" w:eastAsia="MS Gothic" w:hAnsi="Calibri" w:cs="Times New Roman"/>
      <w:b/>
      <w:bCs/>
      <w:color w:val="345A8A"/>
      <w:sz w:val="32"/>
      <w:szCs w:val="32"/>
    </w:rPr>
  </w:style>
  <w:style w:type="character" w:customStyle="1" w:styleId="FootnoteCharacters">
    <w:name w:val="Footnote Characters"/>
    <w:uiPriority w:val="99"/>
    <w:unhideWhenUsed/>
    <w:qFormat/>
    <w:rsid w:val="00EB2950"/>
    <w:rPr>
      <w:vertAlign w:val="superscript"/>
    </w:rPr>
  </w:style>
  <w:style w:type="character" w:customStyle="1" w:styleId="FootnoteAnchor">
    <w:name w:val="Footnote Anchor"/>
    <w:rPr>
      <w:vertAlign w:val="superscript"/>
    </w:rPr>
  </w:style>
  <w:style w:type="character" w:styleId="CommentReference">
    <w:name w:val="annotation reference"/>
    <w:uiPriority w:val="99"/>
    <w:semiHidden/>
    <w:unhideWhenUsed/>
    <w:qFormat/>
    <w:rsid w:val="001C4A49"/>
    <w:rPr>
      <w:sz w:val="18"/>
      <w:szCs w:val="18"/>
    </w:rPr>
  </w:style>
  <w:style w:type="character" w:customStyle="1" w:styleId="CommentTextChar">
    <w:name w:val="Comment Text Char"/>
    <w:link w:val="CommentText"/>
    <w:uiPriority w:val="99"/>
    <w:semiHidden/>
    <w:qFormat/>
    <w:rsid w:val="001C4A49"/>
    <w:rPr>
      <w:rFonts w:ascii="Times New Roman" w:hAnsi="Times New Roman"/>
      <w:sz w:val="24"/>
      <w:szCs w:val="24"/>
    </w:rPr>
  </w:style>
  <w:style w:type="character" w:customStyle="1" w:styleId="CommentSubjectChar">
    <w:name w:val="Comment Subject Char"/>
    <w:link w:val="CommentSubject"/>
    <w:uiPriority w:val="99"/>
    <w:semiHidden/>
    <w:qFormat/>
    <w:rsid w:val="001C4A49"/>
    <w:rPr>
      <w:rFonts w:ascii="Times New Roman" w:hAnsi="Times New Roman"/>
      <w:b/>
      <w:bCs/>
      <w:sz w:val="24"/>
      <w:szCs w:val="24"/>
    </w:rPr>
  </w:style>
  <w:style w:type="character" w:customStyle="1" w:styleId="HeaderChar">
    <w:name w:val="Header Char"/>
    <w:link w:val="Header"/>
    <w:uiPriority w:val="99"/>
    <w:qFormat/>
    <w:rsid w:val="00E4130C"/>
    <w:rPr>
      <w:rFonts w:ascii="Times New Roman" w:hAnsi="Times New Roman"/>
      <w:sz w:val="24"/>
      <w:szCs w:val="24"/>
    </w:rPr>
  </w:style>
  <w:style w:type="character" w:customStyle="1" w:styleId="FooterChar">
    <w:name w:val="Footer Char"/>
    <w:link w:val="Footer"/>
    <w:uiPriority w:val="99"/>
    <w:qFormat/>
    <w:rsid w:val="00E4130C"/>
    <w:rPr>
      <w:rFonts w:ascii="Times New Roman" w:hAnsi="Times New Roman"/>
      <w:sz w:val="24"/>
      <w:szCs w:val="24"/>
    </w:rPr>
  </w:style>
  <w:style w:type="character" w:styleId="PageNumber">
    <w:name w:val="page number"/>
    <w:uiPriority w:val="99"/>
    <w:semiHidden/>
    <w:unhideWhenUsed/>
    <w:qFormat/>
    <w:rsid w:val="00E4130C"/>
  </w:style>
  <w:style w:type="character" w:styleId="Emphasis">
    <w:name w:val="Emphasis"/>
    <w:uiPriority w:val="20"/>
    <w:qFormat/>
    <w:rsid w:val="00DE61A3"/>
    <w:rPr>
      <w:i/>
      <w:iCs/>
    </w:rPr>
  </w:style>
  <w:style w:type="character" w:customStyle="1" w:styleId="EndnoteCharacters">
    <w:name w:val="Endnote Characters"/>
    <w:qFormat/>
  </w:style>
  <w:style w:type="character" w:customStyle="1" w:styleId="EndnoteAnchor">
    <w:name w:val="End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before="0"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684F34"/>
    <w:rPr>
      <w:rFonts w:ascii="Lucida Grande" w:hAnsi="Lucida Grande"/>
      <w:sz w:val="18"/>
      <w:szCs w:val="18"/>
    </w:rPr>
  </w:style>
  <w:style w:type="paragraph" w:styleId="FootnoteText">
    <w:name w:val="footnote text"/>
    <w:basedOn w:val="Normal"/>
    <w:link w:val="FootnoteTextChar"/>
    <w:uiPriority w:val="99"/>
    <w:unhideWhenUsed/>
    <w:rsid w:val="00B717D1"/>
    <w:pPr>
      <w:spacing w:before="0" w:after="220"/>
      <w:ind w:firstLine="720"/>
    </w:pPr>
    <w:rPr>
      <w:sz w:val="22"/>
    </w:rPr>
  </w:style>
  <w:style w:type="paragraph" w:styleId="CommentText">
    <w:name w:val="annotation text"/>
    <w:basedOn w:val="Normal"/>
    <w:link w:val="CommentTextChar"/>
    <w:uiPriority w:val="99"/>
    <w:semiHidden/>
    <w:unhideWhenUsed/>
    <w:qFormat/>
    <w:rsid w:val="001C4A49"/>
  </w:style>
  <w:style w:type="paragraph" w:styleId="CommentSubject">
    <w:name w:val="annotation subject"/>
    <w:basedOn w:val="CommentText"/>
    <w:next w:val="CommentText"/>
    <w:link w:val="CommentSubjectChar"/>
    <w:uiPriority w:val="99"/>
    <w:semiHidden/>
    <w:unhideWhenUsed/>
    <w:qFormat/>
    <w:rsid w:val="001C4A49"/>
    <w:rPr>
      <w:b/>
      <w:bCs/>
      <w:sz w:val="20"/>
      <w:szCs w:val="20"/>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4130C"/>
    <w:pPr>
      <w:tabs>
        <w:tab w:val="center" w:pos="4320"/>
        <w:tab w:val="right" w:pos="8640"/>
      </w:tabs>
    </w:pPr>
  </w:style>
  <w:style w:type="paragraph" w:styleId="Footer">
    <w:name w:val="footer"/>
    <w:basedOn w:val="Normal"/>
    <w:link w:val="FooterChar"/>
    <w:uiPriority w:val="99"/>
    <w:unhideWhenUsed/>
    <w:rsid w:val="00E4130C"/>
    <w:pPr>
      <w:tabs>
        <w:tab w:val="center" w:pos="4320"/>
        <w:tab w:val="right" w:pos="8640"/>
      </w:tabs>
    </w:pPr>
  </w:style>
  <w:style w:type="paragraph" w:customStyle="1" w:styleId="ColorfulShading-Accent11">
    <w:name w:val="Colorful Shading - Accent 11"/>
    <w:uiPriority w:val="71"/>
    <w:qFormat/>
    <w:rsid w:val="008B3CC3"/>
    <w:rPr>
      <w:rFonts w:ascii="Times New Roman" w:hAnsi="Times New Roman"/>
      <w:sz w:val="24"/>
      <w:szCs w:val="24"/>
    </w:rPr>
  </w:style>
  <w:style w:type="paragraph" w:customStyle="1" w:styleId="FrameContents">
    <w:name w:val="Frame Contents"/>
    <w:basedOn w:val="Normal"/>
    <w:qFormat/>
  </w:style>
  <w:style w:type="paragraph" w:styleId="EndnoteText">
    <w:name w:val="endnote text"/>
    <w:basedOn w:val="Normal"/>
    <w:pPr>
      <w:suppressLineNumbers/>
      <w:ind w:left="339" w:hanging="339"/>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AB9A26AD-24E1-4381-995A-461B81171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821</Words>
  <Characters>4681</Characters>
  <Application>Microsoft Office Word</Application>
  <DocSecurity>0</DocSecurity>
  <Lines>39</Lines>
  <Paragraphs>10</Paragraphs>
  <ScaleCrop>false</ScaleCrop>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Holland</dc:creator>
  <dc:description/>
  <cp:lastModifiedBy>Kingsley Nyakagwa</cp:lastModifiedBy>
  <cp:revision>15</cp:revision>
  <dcterms:created xsi:type="dcterms:W3CDTF">2020-05-18T13:03:00Z</dcterms:created>
  <dcterms:modified xsi:type="dcterms:W3CDTF">2020-09-11T20:15:00Z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