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header2.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EFDE034" w14:textId="77777777" w:rsidR="00DF7AA0" w:rsidRPr="00810CAB" w:rsidRDefault="00DF7AA0" w:rsidP="00DF7AA0">
      <w:pPr>
        <w:rPr>
          <w:rFonts w:cs="Times New Roman"/>
          <w:szCs w:val="24"/>
        </w:rPr>
      </w:pPr>
    </w:p>
    <w:p w14:paraId="25B3138F" w14:textId="77777777" w:rsidR="00DF7AA0" w:rsidRPr="00810CAB" w:rsidRDefault="00DF7AA0" w:rsidP="00DF7AA0">
      <w:pPr>
        <w:rPr>
          <w:rFonts w:cs="Times New Roman"/>
          <w:szCs w:val="24"/>
        </w:rPr>
      </w:pPr>
    </w:p>
    <w:p w14:paraId="62022353" w14:textId="77777777" w:rsidR="00DF7AA0" w:rsidRPr="00810CAB" w:rsidRDefault="00DF7AA0" w:rsidP="00DF7AA0">
      <w:pPr>
        <w:jc w:val="center"/>
        <w:rPr>
          <w:rFonts w:cs="Times New Roman"/>
          <w:szCs w:val="24"/>
        </w:rPr>
      </w:pPr>
    </w:p>
    <w:p w14:paraId="4EC10BDB" w14:textId="77777777" w:rsidR="000C2FB6" w:rsidRPr="00810CAB" w:rsidRDefault="000C2FB6" w:rsidP="000C2FB6">
      <w:pPr>
        <w:jc w:val="center"/>
        <w:rPr>
          <w:rFonts w:cs="Times New Roman"/>
          <w:szCs w:val="24"/>
        </w:rPr>
      </w:pPr>
      <w:bookmarkStart w:id="0" w:name="_Toc58310283"/>
      <w:bookmarkStart w:id="1" w:name="_Toc56985422"/>
      <w:bookmarkStart w:id="2" w:name="_Toc56981547"/>
      <w:bookmarkStart w:id="3" w:name="_Toc56981059"/>
      <w:bookmarkStart w:id="4" w:name="_Toc56631515"/>
      <w:bookmarkStart w:id="5" w:name="_Toc55367818"/>
      <w:bookmarkStart w:id="6" w:name="_Toc56175211"/>
      <w:bookmarkStart w:id="7" w:name="_Toc64731567"/>
      <w:bookmarkStart w:id="8" w:name="_Toc65892060"/>
      <w:r w:rsidRPr="00810CAB">
        <w:rPr>
          <w:rFonts w:cs="Times New Roman"/>
          <w:szCs w:val="24"/>
        </w:rPr>
        <w:t>LIBERTY UNIVERSITY</w:t>
      </w:r>
    </w:p>
    <w:p w14:paraId="5EF0BF4D" w14:textId="77777777" w:rsidR="000C2FB6" w:rsidRPr="00810CAB" w:rsidRDefault="000C2FB6" w:rsidP="000C2FB6">
      <w:pPr>
        <w:jc w:val="center"/>
        <w:rPr>
          <w:rFonts w:cs="Times New Roman"/>
          <w:szCs w:val="24"/>
        </w:rPr>
      </w:pPr>
      <w:r w:rsidRPr="00810CAB">
        <w:rPr>
          <w:rFonts w:cs="Times New Roman"/>
          <w:szCs w:val="24"/>
        </w:rPr>
        <w:t xml:space="preserve">JOHN W. RAWLINGS SCHOOL OF DIVINITY </w:t>
      </w:r>
    </w:p>
    <w:p w14:paraId="54E7D8A5" w14:textId="77777777" w:rsidR="000C2FB6" w:rsidRPr="00810CAB" w:rsidRDefault="000C2FB6" w:rsidP="000C2FB6">
      <w:pPr>
        <w:jc w:val="center"/>
        <w:rPr>
          <w:rFonts w:cs="Times New Roman"/>
          <w:szCs w:val="24"/>
        </w:rPr>
      </w:pPr>
    </w:p>
    <w:p w14:paraId="5D6F0C74" w14:textId="7E85DF8E" w:rsidR="000C2FB6" w:rsidRDefault="000C2FB6" w:rsidP="000C2FB6">
      <w:pPr>
        <w:rPr>
          <w:rFonts w:cs="Times New Roman"/>
          <w:szCs w:val="24"/>
        </w:rPr>
      </w:pPr>
    </w:p>
    <w:p w14:paraId="70DE4CBC" w14:textId="77777777" w:rsidR="009B7A09" w:rsidRPr="00810CAB" w:rsidRDefault="009B7A09" w:rsidP="000C2FB6">
      <w:pPr>
        <w:rPr>
          <w:rFonts w:cs="Times New Roman"/>
          <w:szCs w:val="24"/>
        </w:rPr>
      </w:pPr>
    </w:p>
    <w:p w14:paraId="2D10E844" w14:textId="0EC219B5" w:rsidR="009B7A09" w:rsidRPr="009B7A09" w:rsidRDefault="009B7A09" w:rsidP="009B7A09">
      <w:pPr>
        <w:jc w:val="center"/>
        <w:rPr>
          <w:rFonts w:eastAsia="Times New Roman" w:cs="Times New Roman"/>
          <w:b/>
          <w:bCs/>
          <w:color w:val="000000"/>
          <w:szCs w:val="24"/>
          <w:bdr w:val="none" w:sz="0" w:space="0" w:color="auto" w:frame="1"/>
        </w:rPr>
      </w:pPr>
      <w:r w:rsidRPr="009B7A09">
        <w:rPr>
          <w:rFonts w:eastAsia="Times New Roman" w:cs="Times New Roman"/>
          <w:b/>
          <w:bCs/>
          <w:color w:val="000000"/>
          <w:szCs w:val="24"/>
          <w:bdr w:val="none" w:sz="0" w:space="0" w:color="auto" w:frame="1"/>
        </w:rPr>
        <w:t>Book Critique Assignment</w:t>
      </w:r>
    </w:p>
    <w:p w14:paraId="453105EC" w14:textId="04BD092D" w:rsidR="009B7A09" w:rsidRDefault="009B7A09" w:rsidP="000C2FB6">
      <w:pPr>
        <w:rPr>
          <w:rFonts w:eastAsia="Times New Roman" w:cs="Times New Roman"/>
          <w:i/>
          <w:iCs/>
          <w:color w:val="000000"/>
          <w:szCs w:val="24"/>
          <w:bdr w:val="none" w:sz="0" w:space="0" w:color="auto" w:frame="1"/>
        </w:rPr>
      </w:pPr>
    </w:p>
    <w:p w14:paraId="2C1CC018" w14:textId="77777777" w:rsidR="009B7A09" w:rsidRPr="00810CAB" w:rsidRDefault="009B7A09" w:rsidP="000C2FB6">
      <w:pPr>
        <w:rPr>
          <w:rFonts w:cs="Times New Roman"/>
          <w:szCs w:val="24"/>
        </w:rPr>
      </w:pPr>
    </w:p>
    <w:p w14:paraId="1E138855" w14:textId="795F6344" w:rsidR="000C2FB6" w:rsidRPr="00810CAB" w:rsidRDefault="000C2FB6" w:rsidP="000C2FB6">
      <w:pPr>
        <w:jc w:val="center"/>
        <w:rPr>
          <w:rFonts w:cs="Times New Roman"/>
          <w:szCs w:val="24"/>
        </w:rPr>
      </w:pPr>
      <w:r w:rsidRPr="00810CAB">
        <w:rPr>
          <w:rFonts w:cs="Times New Roman"/>
          <w:szCs w:val="24"/>
        </w:rPr>
        <w:t xml:space="preserve">Submitted to Dr </w:t>
      </w:r>
      <w:r w:rsidR="004F1E5C">
        <w:rPr>
          <w:rFonts w:cs="Times New Roman"/>
          <w:szCs w:val="24"/>
        </w:rPr>
        <w:t>David Campbell</w:t>
      </w:r>
    </w:p>
    <w:p w14:paraId="6E61F74C" w14:textId="77777777" w:rsidR="000C2FB6" w:rsidRPr="00810CAB" w:rsidRDefault="000C2FB6" w:rsidP="000C2FB6">
      <w:pPr>
        <w:jc w:val="center"/>
        <w:rPr>
          <w:rFonts w:cs="Times New Roman"/>
          <w:szCs w:val="24"/>
        </w:rPr>
      </w:pPr>
      <w:r w:rsidRPr="00810CAB">
        <w:rPr>
          <w:rFonts w:cs="Times New Roman"/>
          <w:szCs w:val="24"/>
        </w:rPr>
        <w:t xml:space="preserve">in partial fulfillment of the requirements for the completion of </w:t>
      </w:r>
    </w:p>
    <w:p w14:paraId="3F591752" w14:textId="77777777" w:rsidR="000C2FB6" w:rsidRPr="00810CAB" w:rsidRDefault="000C2FB6" w:rsidP="000C2FB6">
      <w:pPr>
        <w:jc w:val="center"/>
        <w:rPr>
          <w:rFonts w:cs="Times New Roman"/>
          <w:szCs w:val="24"/>
        </w:rPr>
      </w:pPr>
    </w:p>
    <w:p w14:paraId="57E0703E" w14:textId="77777777" w:rsidR="000C2FB6" w:rsidRPr="00810CAB" w:rsidRDefault="000C2FB6" w:rsidP="000C2FB6">
      <w:pPr>
        <w:jc w:val="center"/>
        <w:rPr>
          <w:rFonts w:cs="Times New Roman"/>
          <w:szCs w:val="24"/>
        </w:rPr>
      </w:pPr>
    </w:p>
    <w:p w14:paraId="583ED0FD" w14:textId="6B4B9BB5" w:rsidR="000C2FB6" w:rsidRPr="00810CAB" w:rsidRDefault="004F1E5C" w:rsidP="000C2FB6">
      <w:pPr>
        <w:jc w:val="center"/>
        <w:rPr>
          <w:rFonts w:cs="Times New Roman"/>
          <w:szCs w:val="24"/>
        </w:rPr>
      </w:pPr>
      <w:r>
        <w:rPr>
          <w:rFonts w:cs="Times New Roman"/>
          <w:szCs w:val="24"/>
        </w:rPr>
        <w:t>APOL</w:t>
      </w:r>
      <w:r w:rsidR="000C2FB6" w:rsidRPr="00810CAB">
        <w:rPr>
          <w:rFonts w:cs="Times New Roman"/>
          <w:szCs w:val="24"/>
        </w:rPr>
        <w:t xml:space="preserve"> 525- </w:t>
      </w:r>
      <w:r>
        <w:rPr>
          <w:rFonts w:cs="Times New Roman"/>
          <w:szCs w:val="24"/>
        </w:rPr>
        <w:t>D</w:t>
      </w:r>
      <w:r w:rsidR="000C2FB6" w:rsidRPr="00810CAB">
        <w:rPr>
          <w:rFonts w:cs="Times New Roman"/>
          <w:szCs w:val="24"/>
        </w:rPr>
        <w:t>0</w:t>
      </w:r>
      <w:r>
        <w:rPr>
          <w:rFonts w:cs="Times New Roman"/>
          <w:szCs w:val="24"/>
        </w:rPr>
        <w:t>1</w:t>
      </w:r>
    </w:p>
    <w:p w14:paraId="7CE46B46" w14:textId="7CB51F1E" w:rsidR="000C2FB6" w:rsidRPr="00810CAB" w:rsidRDefault="004F1E5C" w:rsidP="000C2FB6">
      <w:pPr>
        <w:jc w:val="center"/>
        <w:rPr>
          <w:rFonts w:cs="Times New Roman"/>
          <w:szCs w:val="24"/>
        </w:rPr>
      </w:pPr>
      <w:r>
        <w:rPr>
          <w:rFonts w:cs="Times New Roman"/>
          <w:szCs w:val="24"/>
        </w:rPr>
        <w:t>Pluralism and World Religions</w:t>
      </w:r>
    </w:p>
    <w:p w14:paraId="61F455D0" w14:textId="77777777" w:rsidR="000C2FB6" w:rsidRPr="00810CAB" w:rsidRDefault="000C2FB6" w:rsidP="000C2FB6">
      <w:pPr>
        <w:jc w:val="center"/>
        <w:rPr>
          <w:rFonts w:cs="Times New Roman"/>
          <w:szCs w:val="24"/>
        </w:rPr>
      </w:pPr>
    </w:p>
    <w:p w14:paraId="758CF04A" w14:textId="77777777" w:rsidR="000C2FB6" w:rsidRPr="00810CAB" w:rsidRDefault="000C2FB6" w:rsidP="000C2FB6">
      <w:pPr>
        <w:jc w:val="center"/>
        <w:rPr>
          <w:rFonts w:cs="Times New Roman"/>
          <w:szCs w:val="24"/>
        </w:rPr>
      </w:pPr>
    </w:p>
    <w:p w14:paraId="3AEB3E05" w14:textId="77777777" w:rsidR="000C2FB6" w:rsidRPr="00810CAB" w:rsidRDefault="000C2FB6" w:rsidP="000C2FB6">
      <w:pPr>
        <w:jc w:val="center"/>
        <w:rPr>
          <w:rFonts w:cs="Times New Roman"/>
          <w:szCs w:val="24"/>
        </w:rPr>
      </w:pPr>
      <w:r w:rsidRPr="00810CAB">
        <w:rPr>
          <w:rFonts w:cs="Times New Roman"/>
          <w:szCs w:val="24"/>
        </w:rPr>
        <w:t>by</w:t>
      </w:r>
    </w:p>
    <w:p w14:paraId="6DB71876" w14:textId="77777777" w:rsidR="000C2FB6" w:rsidRPr="00810CAB" w:rsidRDefault="000C2FB6" w:rsidP="000C2FB6">
      <w:pPr>
        <w:rPr>
          <w:rFonts w:cs="Times New Roman"/>
          <w:szCs w:val="24"/>
        </w:rPr>
      </w:pPr>
    </w:p>
    <w:p w14:paraId="642F3F8F" w14:textId="53C61E3A" w:rsidR="000C2FB6" w:rsidRPr="00810CAB" w:rsidRDefault="000C2FB6" w:rsidP="00B216BD">
      <w:pPr>
        <w:jc w:val="center"/>
        <w:rPr>
          <w:rFonts w:cs="Times New Roman"/>
          <w:szCs w:val="24"/>
        </w:rPr>
      </w:pPr>
      <w:r w:rsidRPr="00810CAB">
        <w:rPr>
          <w:rFonts w:cs="Times New Roman"/>
          <w:szCs w:val="24"/>
        </w:rPr>
        <w:t>Kingsley O. Nyakagwa</w:t>
      </w:r>
    </w:p>
    <w:p w14:paraId="38EBBA6D" w14:textId="382D2207" w:rsidR="000C2FB6" w:rsidRPr="00810CAB" w:rsidRDefault="00CB634F" w:rsidP="000C2FB6">
      <w:pPr>
        <w:jc w:val="center"/>
        <w:rPr>
          <w:rFonts w:cs="Times New Roman"/>
          <w:szCs w:val="24"/>
        </w:rPr>
      </w:pPr>
      <w:bookmarkStart w:id="9" w:name="__RefHeading___Toc523_3372919366"/>
      <w:bookmarkStart w:id="10" w:name="__RefHeading___Toc305_3372919366"/>
      <w:bookmarkEnd w:id="9"/>
      <w:bookmarkEnd w:id="10"/>
      <w:r>
        <w:rPr>
          <w:rFonts w:cs="Times New Roman"/>
          <w:szCs w:val="24"/>
        </w:rPr>
        <w:t xml:space="preserve">August </w:t>
      </w:r>
      <w:r w:rsidR="009412E1">
        <w:rPr>
          <w:rFonts w:cs="Times New Roman"/>
          <w:szCs w:val="24"/>
        </w:rPr>
        <w:t>8</w:t>
      </w:r>
      <w:r w:rsidR="000C2FB6" w:rsidRPr="00810CAB">
        <w:rPr>
          <w:rFonts w:cs="Times New Roman"/>
          <w:szCs w:val="24"/>
        </w:rPr>
        <w:t>, 2021</w:t>
      </w:r>
    </w:p>
    <w:bookmarkStart w:id="11" w:name="_Toc79332065" w:displacedByCustomXml="next"/>
    <w:bookmarkStart w:id="12" w:name="_Toc79264731" w:displacedByCustomXml="next"/>
    <w:bookmarkStart w:id="13" w:name="_Toc77552300" w:displacedByCustomXml="next"/>
    <w:bookmarkStart w:id="14" w:name="_Toc77544925" w:displacedByCustomXml="next"/>
    <w:bookmarkStart w:id="15" w:name="_Toc73326369" w:displacedByCustomXml="next"/>
    <w:bookmarkStart w:id="16" w:name="_Toc76513000" w:displacedByCustomXml="next"/>
    <w:bookmarkStart w:id="17" w:name="_Toc76732062" w:displacedByCustomXml="next"/>
    <w:bookmarkStart w:id="18" w:name="_Toc78763632" w:displacedByCustomXml="next"/>
    <w:bookmarkStart w:id="19" w:name="_Toc78769849" w:displacedByCustomXml="next"/>
    <w:sdt>
      <w:sdtPr>
        <w:rPr>
          <w:rFonts w:eastAsiaTheme="minorHAnsi" w:cstheme="minorBidi"/>
          <w:b w:val="0"/>
          <w:color w:val="auto"/>
          <w:szCs w:val="22"/>
        </w:rPr>
        <w:id w:val="-2119129730"/>
        <w:docPartObj>
          <w:docPartGallery w:val="Table of Contents"/>
          <w:docPartUnique/>
        </w:docPartObj>
      </w:sdtPr>
      <w:sdtEndPr>
        <w:rPr>
          <w:rFonts w:cs="Times New Roman"/>
          <w:bCs/>
          <w:noProof/>
          <w:szCs w:val="24"/>
        </w:rPr>
      </w:sdtEndPr>
      <w:sdtContent>
        <w:p w14:paraId="255D14DF" w14:textId="77777777" w:rsidR="00C20FD8" w:rsidRPr="00C20FD8" w:rsidRDefault="00DF7AA0" w:rsidP="00C20FD8">
          <w:pPr>
            <w:pStyle w:val="Heading1"/>
            <w:spacing w:after="240" w:line="240" w:lineRule="auto"/>
            <w:rPr>
              <w:rFonts w:cs="Times New Roman"/>
              <w:noProof/>
            </w:rPr>
          </w:pPr>
          <w:r w:rsidRPr="00C20FD8">
            <w:rPr>
              <w:rFonts w:cs="Times New Roman"/>
            </w:rPr>
            <w:t>Contents</w:t>
          </w:r>
          <w:bookmarkEnd w:id="0"/>
          <w:bookmarkEnd w:id="1"/>
          <w:bookmarkEnd w:id="2"/>
          <w:bookmarkEnd w:id="3"/>
          <w:bookmarkEnd w:id="4"/>
          <w:bookmarkEnd w:id="5"/>
          <w:bookmarkEnd w:id="6"/>
          <w:bookmarkEnd w:id="7"/>
          <w:bookmarkEnd w:id="8"/>
          <w:bookmarkEnd w:id="19"/>
          <w:bookmarkEnd w:id="18"/>
          <w:bookmarkEnd w:id="17"/>
          <w:bookmarkEnd w:id="16"/>
          <w:bookmarkEnd w:id="15"/>
          <w:bookmarkEnd w:id="14"/>
          <w:bookmarkEnd w:id="13"/>
          <w:bookmarkEnd w:id="12"/>
          <w:bookmarkEnd w:id="11"/>
          <w:r w:rsidRPr="00C20FD8">
            <w:rPr>
              <w:rFonts w:eastAsia="Century Gothic" w:cs="Times New Roman"/>
            </w:rPr>
            <w:fldChar w:fldCharType="begin"/>
          </w:r>
          <w:r w:rsidRPr="00C20FD8">
            <w:rPr>
              <w:rFonts w:cs="Times New Roman"/>
            </w:rPr>
            <w:instrText xml:space="preserve"> TOC \o "1-3" \h \z \u </w:instrText>
          </w:r>
          <w:r w:rsidRPr="00C20FD8">
            <w:rPr>
              <w:rFonts w:eastAsia="Century Gothic" w:cs="Times New Roman"/>
            </w:rPr>
            <w:fldChar w:fldCharType="separate"/>
          </w:r>
        </w:p>
        <w:p w14:paraId="4F15D119" w14:textId="7B97D8B0" w:rsidR="00C20FD8" w:rsidRPr="00C20FD8" w:rsidRDefault="00C20FD8" w:rsidP="00C20FD8">
          <w:pPr>
            <w:pStyle w:val="TOC1"/>
            <w:tabs>
              <w:tab w:val="right" w:leader="dot" w:pos="9350"/>
            </w:tabs>
            <w:spacing w:after="240"/>
            <w:rPr>
              <w:rFonts w:ascii="Times New Roman" w:eastAsiaTheme="minorEastAsia" w:hAnsi="Times New Roman" w:cs="Times New Roman"/>
              <w:b/>
              <w:noProof/>
              <w:sz w:val="22"/>
              <w:szCs w:val="22"/>
            </w:rPr>
          </w:pPr>
          <w:hyperlink w:anchor="_Toc79332066" w:history="1">
            <w:r w:rsidRPr="00C20FD8">
              <w:rPr>
                <w:rStyle w:val="Hyperlink"/>
                <w:rFonts w:ascii="Times New Roman" w:hAnsi="Times New Roman" w:cs="Times New Roman"/>
                <w:b/>
                <w:noProof/>
              </w:rPr>
              <w:t>Introduction</w:t>
            </w:r>
            <w:r w:rsidRPr="00C20FD8">
              <w:rPr>
                <w:rFonts w:ascii="Times New Roman" w:hAnsi="Times New Roman" w:cs="Times New Roman"/>
                <w:b/>
                <w:noProof/>
                <w:webHidden/>
              </w:rPr>
              <w:tab/>
            </w:r>
            <w:r w:rsidRPr="00C20FD8">
              <w:rPr>
                <w:rFonts w:ascii="Times New Roman" w:hAnsi="Times New Roman" w:cs="Times New Roman"/>
                <w:b/>
                <w:noProof/>
                <w:webHidden/>
              </w:rPr>
              <w:fldChar w:fldCharType="begin"/>
            </w:r>
            <w:r w:rsidRPr="00C20FD8">
              <w:rPr>
                <w:rFonts w:ascii="Times New Roman" w:hAnsi="Times New Roman" w:cs="Times New Roman"/>
                <w:b/>
                <w:noProof/>
                <w:webHidden/>
              </w:rPr>
              <w:instrText xml:space="preserve"> PAGEREF _Toc79332066 \h </w:instrText>
            </w:r>
            <w:r w:rsidRPr="00C20FD8">
              <w:rPr>
                <w:rFonts w:ascii="Times New Roman" w:hAnsi="Times New Roman" w:cs="Times New Roman"/>
                <w:b/>
                <w:noProof/>
                <w:webHidden/>
              </w:rPr>
            </w:r>
            <w:r w:rsidRPr="00C20FD8">
              <w:rPr>
                <w:rFonts w:ascii="Times New Roman" w:hAnsi="Times New Roman" w:cs="Times New Roman"/>
                <w:b/>
                <w:noProof/>
                <w:webHidden/>
              </w:rPr>
              <w:fldChar w:fldCharType="separate"/>
            </w:r>
            <w:r w:rsidRPr="00C20FD8">
              <w:rPr>
                <w:rFonts w:ascii="Times New Roman" w:hAnsi="Times New Roman" w:cs="Times New Roman"/>
                <w:b/>
                <w:noProof/>
                <w:webHidden/>
              </w:rPr>
              <w:t>1</w:t>
            </w:r>
            <w:r w:rsidRPr="00C20FD8">
              <w:rPr>
                <w:rFonts w:ascii="Times New Roman" w:hAnsi="Times New Roman" w:cs="Times New Roman"/>
                <w:b/>
                <w:noProof/>
                <w:webHidden/>
              </w:rPr>
              <w:fldChar w:fldCharType="end"/>
            </w:r>
          </w:hyperlink>
        </w:p>
        <w:p w14:paraId="13037B6F" w14:textId="0B2CAC77" w:rsidR="00C20FD8" w:rsidRPr="00C20FD8" w:rsidRDefault="00C20FD8" w:rsidP="00C20FD8">
          <w:pPr>
            <w:pStyle w:val="TOC1"/>
            <w:tabs>
              <w:tab w:val="right" w:leader="dot" w:pos="9350"/>
            </w:tabs>
            <w:spacing w:after="240"/>
            <w:rPr>
              <w:rFonts w:ascii="Times New Roman" w:eastAsiaTheme="minorEastAsia" w:hAnsi="Times New Roman" w:cs="Times New Roman"/>
              <w:b/>
              <w:noProof/>
              <w:sz w:val="22"/>
              <w:szCs w:val="22"/>
            </w:rPr>
          </w:pPr>
          <w:hyperlink w:anchor="_Toc79332067" w:history="1">
            <w:r w:rsidRPr="00C20FD8">
              <w:rPr>
                <w:rStyle w:val="Hyperlink"/>
                <w:rFonts w:ascii="Times New Roman" w:hAnsi="Times New Roman" w:cs="Times New Roman"/>
                <w:b/>
                <w:noProof/>
              </w:rPr>
              <w:t>Summary</w:t>
            </w:r>
            <w:r w:rsidRPr="00C20FD8">
              <w:rPr>
                <w:rFonts w:ascii="Times New Roman" w:hAnsi="Times New Roman" w:cs="Times New Roman"/>
                <w:b/>
                <w:noProof/>
                <w:webHidden/>
              </w:rPr>
              <w:tab/>
            </w:r>
            <w:r w:rsidRPr="00C20FD8">
              <w:rPr>
                <w:rFonts w:ascii="Times New Roman" w:hAnsi="Times New Roman" w:cs="Times New Roman"/>
                <w:b/>
                <w:noProof/>
                <w:webHidden/>
              </w:rPr>
              <w:fldChar w:fldCharType="begin"/>
            </w:r>
            <w:r w:rsidRPr="00C20FD8">
              <w:rPr>
                <w:rFonts w:ascii="Times New Roman" w:hAnsi="Times New Roman" w:cs="Times New Roman"/>
                <w:b/>
                <w:noProof/>
                <w:webHidden/>
              </w:rPr>
              <w:instrText xml:space="preserve"> PAGEREF _Toc79332067 \h </w:instrText>
            </w:r>
            <w:r w:rsidRPr="00C20FD8">
              <w:rPr>
                <w:rFonts w:ascii="Times New Roman" w:hAnsi="Times New Roman" w:cs="Times New Roman"/>
                <w:b/>
                <w:noProof/>
                <w:webHidden/>
              </w:rPr>
            </w:r>
            <w:r w:rsidRPr="00C20FD8">
              <w:rPr>
                <w:rFonts w:ascii="Times New Roman" w:hAnsi="Times New Roman" w:cs="Times New Roman"/>
                <w:b/>
                <w:noProof/>
                <w:webHidden/>
              </w:rPr>
              <w:fldChar w:fldCharType="separate"/>
            </w:r>
            <w:r w:rsidRPr="00C20FD8">
              <w:rPr>
                <w:rFonts w:ascii="Times New Roman" w:hAnsi="Times New Roman" w:cs="Times New Roman"/>
                <w:b/>
                <w:noProof/>
                <w:webHidden/>
              </w:rPr>
              <w:t>1</w:t>
            </w:r>
            <w:r w:rsidRPr="00C20FD8">
              <w:rPr>
                <w:rFonts w:ascii="Times New Roman" w:hAnsi="Times New Roman" w:cs="Times New Roman"/>
                <w:b/>
                <w:noProof/>
                <w:webHidden/>
              </w:rPr>
              <w:fldChar w:fldCharType="end"/>
            </w:r>
          </w:hyperlink>
        </w:p>
        <w:p w14:paraId="07A31284" w14:textId="6F8C3AEC" w:rsidR="00C20FD8" w:rsidRPr="00C20FD8" w:rsidRDefault="00C20FD8" w:rsidP="00C20FD8">
          <w:pPr>
            <w:pStyle w:val="TOC1"/>
            <w:tabs>
              <w:tab w:val="right" w:leader="dot" w:pos="9350"/>
            </w:tabs>
            <w:spacing w:after="240"/>
            <w:rPr>
              <w:rFonts w:ascii="Times New Roman" w:eastAsiaTheme="minorEastAsia" w:hAnsi="Times New Roman" w:cs="Times New Roman"/>
              <w:b/>
              <w:noProof/>
              <w:sz w:val="22"/>
              <w:szCs w:val="22"/>
            </w:rPr>
          </w:pPr>
          <w:hyperlink w:anchor="_Toc79332068" w:history="1">
            <w:r w:rsidRPr="00C20FD8">
              <w:rPr>
                <w:rStyle w:val="Hyperlink"/>
                <w:rFonts w:ascii="Times New Roman" w:hAnsi="Times New Roman" w:cs="Times New Roman"/>
                <w:b/>
                <w:noProof/>
              </w:rPr>
              <w:t>Critical Evaluation</w:t>
            </w:r>
            <w:r w:rsidRPr="00C20FD8">
              <w:rPr>
                <w:rFonts w:ascii="Times New Roman" w:hAnsi="Times New Roman" w:cs="Times New Roman"/>
                <w:b/>
                <w:noProof/>
                <w:webHidden/>
              </w:rPr>
              <w:tab/>
            </w:r>
            <w:r w:rsidRPr="00C20FD8">
              <w:rPr>
                <w:rFonts w:ascii="Times New Roman" w:hAnsi="Times New Roman" w:cs="Times New Roman"/>
                <w:b/>
                <w:noProof/>
                <w:webHidden/>
              </w:rPr>
              <w:fldChar w:fldCharType="begin"/>
            </w:r>
            <w:r w:rsidRPr="00C20FD8">
              <w:rPr>
                <w:rFonts w:ascii="Times New Roman" w:hAnsi="Times New Roman" w:cs="Times New Roman"/>
                <w:b/>
                <w:noProof/>
                <w:webHidden/>
              </w:rPr>
              <w:instrText xml:space="preserve"> PAGEREF _Toc79332068 \h </w:instrText>
            </w:r>
            <w:r w:rsidRPr="00C20FD8">
              <w:rPr>
                <w:rFonts w:ascii="Times New Roman" w:hAnsi="Times New Roman" w:cs="Times New Roman"/>
                <w:b/>
                <w:noProof/>
                <w:webHidden/>
              </w:rPr>
            </w:r>
            <w:r w:rsidRPr="00C20FD8">
              <w:rPr>
                <w:rFonts w:ascii="Times New Roman" w:hAnsi="Times New Roman" w:cs="Times New Roman"/>
                <w:b/>
                <w:noProof/>
                <w:webHidden/>
              </w:rPr>
              <w:fldChar w:fldCharType="separate"/>
            </w:r>
            <w:r w:rsidRPr="00C20FD8">
              <w:rPr>
                <w:rFonts w:ascii="Times New Roman" w:hAnsi="Times New Roman" w:cs="Times New Roman"/>
                <w:b/>
                <w:noProof/>
                <w:webHidden/>
              </w:rPr>
              <w:t>5</w:t>
            </w:r>
            <w:r w:rsidRPr="00C20FD8">
              <w:rPr>
                <w:rFonts w:ascii="Times New Roman" w:hAnsi="Times New Roman" w:cs="Times New Roman"/>
                <w:b/>
                <w:noProof/>
                <w:webHidden/>
              </w:rPr>
              <w:fldChar w:fldCharType="end"/>
            </w:r>
          </w:hyperlink>
        </w:p>
        <w:p w14:paraId="160A067B" w14:textId="44D94B83" w:rsidR="00C20FD8" w:rsidRPr="00C20FD8" w:rsidRDefault="00C20FD8" w:rsidP="00C20FD8">
          <w:pPr>
            <w:pStyle w:val="TOC1"/>
            <w:tabs>
              <w:tab w:val="right" w:leader="dot" w:pos="9350"/>
            </w:tabs>
            <w:spacing w:after="240"/>
            <w:rPr>
              <w:rFonts w:ascii="Times New Roman" w:eastAsiaTheme="minorEastAsia" w:hAnsi="Times New Roman" w:cs="Times New Roman"/>
              <w:b/>
              <w:noProof/>
              <w:sz w:val="22"/>
              <w:szCs w:val="22"/>
            </w:rPr>
          </w:pPr>
          <w:hyperlink w:anchor="_Toc79332069" w:history="1">
            <w:r w:rsidRPr="00C20FD8">
              <w:rPr>
                <w:rStyle w:val="Hyperlink"/>
                <w:rFonts w:ascii="Times New Roman" w:hAnsi="Times New Roman" w:cs="Times New Roman"/>
                <w:b/>
                <w:noProof/>
              </w:rPr>
              <w:t>Conclusion</w:t>
            </w:r>
            <w:r w:rsidRPr="00C20FD8">
              <w:rPr>
                <w:rFonts w:ascii="Times New Roman" w:hAnsi="Times New Roman" w:cs="Times New Roman"/>
                <w:b/>
                <w:noProof/>
                <w:webHidden/>
              </w:rPr>
              <w:tab/>
            </w:r>
            <w:r w:rsidRPr="00C20FD8">
              <w:rPr>
                <w:rFonts w:ascii="Times New Roman" w:hAnsi="Times New Roman" w:cs="Times New Roman"/>
                <w:b/>
                <w:noProof/>
                <w:webHidden/>
              </w:rPr>
              <w:fldChar w:fldCharType="begin"/>
            </w:r>
            <w:r w:rsidRPr="00C20FD8">
              <w:rPr>
                <w:rFonts w:ascii="Times New Roman" w:hAnsi="Times New Roman" w:cs="Times New Roman"/>
                <w:b/>
                <w:noProof/>
                <w:webHidden/>
              </w:rPr>
              <w:instrText xml:space="preserve"> PAGEREF _Toc79332069 \h </w:instrText>
            </w:r>
            <w:r w:rsidRPr="00C20FD8">
              <w:rPr>
                <w:rFonts w:ascii="Times New Roman" w:hAnsi="Times New Roman" w:cs="Times New Roman"/>
                <w:b/>
                <w:noProof/>
                <w:webHidden/>
              </w:rPr>
            </w:r>
            <w:r w:rsidRPr="00C20FD8">
              <w:rPr>
                <w:rFonts w:ascii="Times New Roman" w:hAnsi="Times New Roman" w:cs="Times New Roman"/>
                <w:b/>
                <w:noProof/>
                <w:webHidden/>
              </w:rPr>
              <w:fldChar w:fldCharType="separate"/>
            </w:r>
            <w:r w:rsidRPr="00C20FD8">
              <w:rPr>
                <w:rFonts w:ascii="Times New Roman" w:hAnsi="Times New Roman" w:cs="Times New Roman"/>
                <w:b/>
                <w:noProof/>
                <w:webHidden/>
              </w:rPr>
              <w:t>6</w:t>
            </w:r>
            <w:r w:rsidRPr="00C20FD8">
              <w:rPr>
                <w:rFonts w:ascii="Times New Roman" w:hAnsi="Times New Roman" w:cs="Times New Roman"/>
                <w:b/>
                <w:noProof/>
                <w:webHidden/>
              </w:rPr>
              <w:fldChar w:fldCharType="end"/>
            </w:r>
          </w:hyperlink>
        </w:p>
        <w:p w14:paraId="19A75CD3" w14:textId="016FD137" w:rsidR="00C20FD8" w:rsidRPr="00C20FD8" w:rsidRDefault="00C20FD8" w:rsidP="00C20FD8">
          <w:pPr>
            <w:pStyle w:val="TOC1"/>
            <w:tabs>
              <w:tab w:val="right" w:leader="dot" w:pos="9350"/>
            </w:tabs>
            <w:spacing w:after="240"/>
            <w:rPr>
              <w:rFonts w:ascii="Times New Roman" w:eastAsiaTheme="minorEastAsia" w:hAnsi="Times New Roman" w:cs="Times New Roman"/>
              <w:b/>
              <w:noProof/>
              <w:sz w:val="22"/>
              <w:szCs w:val="22"/>
            </w:rPr>
          </w:pPr>
          <w:hyperlink w:anchor="_Toc79332070" w:history="1">
            <w:r w:rsidRPr="00C20FD8">
              <w:rPr>
                <w:rStyle w:val="Hyperlink"/>
                <w:rFonts w:ascii="Times New Roman" w:hAnsi="Times New Roman" w:cs="Times New Roman"/>
                <w:b/>
                <w:noProof/>
              </w:rPr>
              <w:t>Bibliography</w:t>
            </w:r>
            <w:r w:rsidRPr="00C20FD8">
              <w:rPr>
                <w:rFonts w:ascii="Times New Roman" w:hAnsi="Times New Roman" w:cs="Times New Roman"/>
                <w:b/>
                <w:noProof/>
                <w:webHidden/>
              </w:rPr>
              <w:tab/>
            </w:r>
            <w:r w:rsidRPr="00C20FD8">
              <w:rPr>
                <w:rFonts w:ascii="Times New Roman" w:hAnsi="Times New Roman" w:cs="Times New Roman"/>
                <w:b/>
                <w:noProof/>
                <w:webHidden/>
              </w:rPr>
              <w:fldChar w:fldCharType="begin"/>
            </w:r>
            <w:r w:rsidRPr="00C20FD8">
              <w:rPr>
                <w:rFonts w:ascii="Times New Roman" w:hAnsi="Times New Roman" w:cs="Times New Roman"/>
                <w:b/>
                <w:noProof/>
                <w:webHidden/>
              </w:rPr>
              <w:instrText xml:space="preserve"> PAGEREF _Toc79332070 \h </w:instrText>
            </w:r>
            <w:r w:rsidRPr="00C20FD8">
              <w:rPr>
                <w:rFonts w:ascii="Times New Roman" w:hAnsi="Times New Roman" w:cs="Times New Roman"/>
                <w:b/>
                <w:noProof/>
                <w:webHidden/>
              </w:rPr>
            </w:r>
            <w:r w:rsidRPr="00C20FD8">
              <w:rPr>
                <w:rFonts w:ascii="Times New Roman" w:hAnsi="Times New Roman" w:cs="Times New Roman"/>
                <w:b/>
                <w:noProof/>
                <w:webHidden/>
              </w:rPr>
              <w:fldChar w:fldCharType="separate"/>
            </w:r>
            <w:r w:rsidRPr="00C20FD8">
              <w:rPr>
                <w:rFonts w:ascii="Times New Roman" w:hAnsi="Times New Roman" w:cs="Times New Roman"/>
                <w:b/>
                <w:noProof/>
                <w:webHidden/>
              </w:rPr>
              <w:t>8</w:t>
            </w:r>
            <w:r w:rsidRPr="00C20FD8">
              <w:rPr>
                <w:rFonts w:ascii="Times New Roman" w:hAnsi="Times New Roman" w:cs="Times New Roman"/>
                <w:b/>
                <w:noProof/>
                <w:webHidden/>
              </w:rPr>
              <w:fldChar w:fldCharType="end"/>
            </w:r>
          </w:hyperlink>
        </w:p>
        <w:p w14:paraId="077F3532" w14:textId="3359B5C9" w:rsidR="00DF7AA0" w:rsidRPr="002B64C0" w:rsidRDefault="00DF7AA0" w:rsidP="00C20FD8">
          <w:pPr>
            <w:spacing w:before="240" w:after="240" w:line="240" w:lineRule="auto"/>
            <w:rPr>
              <w:rFonts w:cs="Times New Roman"/>
              <w:b/>
              <w:bCs/>
              <w:szCs w:val="24"/>
            </w:rPr>
            <w:sectPr w:rsidR="00DF7AA0" w:rsidRPr="002B64C0" w:rsidSect="00A36B5C">
              <w:footerReference w:type="default" r:id="rId7"/>
              <w:footerReference w:type="first" r:id="rId8"/>
              <w:pgSz w:w="12240" w:h="15840"/>
              <w:pgMar w:top="1440" w:right="1440" w:bottom="1440" w:left="1440" w:header="720" w:footer="720" w:gutter="0"/>
              <w:pgNumType w:fmt="lowerRoman" w:start="1"/>
              <w:cols w:space="720"/>
              <w:titlePg/>
              <w:docGrid w:linePitch="360"/>
            </w:sectPr>
          </w:pPr>
          <w:r w:rsidRPr="00C20FD8">
            <w:rPr>
              <w:rFonts w:cs="Times New Roman"/>
              <w:b/>
              <w:noProof/>
              <w:szCs w:val="24"/>
            </w:rPr>
            <w:fldChar w:fldCharType="end"/>
          </w:r>
        </w:p>
      </w:sdtContent>
    </w:sdt>
    <w:p w14:paraId="480004F4" w14:textId="5A5EC7EF" w:rsidR="001F585E" w:rsidRDefault="000B1EDA" w:rsidP="00FE6983">
      <w:pPr>
        <w:pStyle w:val="Heading1"/>
      </w:pPr>
      <w:bookmarkStart w:id="20" w:name="_Toc79332066"/>
      <w:r w:rsidRPr="00810CAB">
        <w:lastRenderedPageBreak/>
        <w:t>Introduction</w:t>
      </w:r>
      <w:bookmarkEnd w:id="20"/>
    </w:p>
    <w:p w14:paraId="08DF8E13" w14:textId="1D4AEB2D" w:rsidR="00E13B6F" w:rsidRDefault="00E13B6F" w:rsidP="00D5358F">
      <w:pPr>
        <w:ind w:firstLine="720"/>
        <w:rPr>
          <w:rFonts w:eastAsia="Times New Roman" w:cs="Times New Roman"/>
          <w:color w:val="000000"/>
          <w:szCs w:val="24"/>
          <w:bdr w:val="none" w:sz="0" w:space="0" w:color="auto" w:frame="1"/>
        </w:rPr>
      </w:pPr>
      <w:r>
        <w:t>One of the discussions that have caught the attention of many scholars in the last few decades is that of religious pluralism. Due to the increasing globalization and modernism, there has been a growing awareness of religious diversity for many people. The challenge, however, has been on how to respond to that diversity. Some have doubted if at all any religion is true. Others have maintained that despite the differences in these religions, they are all the same and equally valid.  </w:t>
      </w:r>
      <w:r>
        <w:rPr>
          <w:rStyle w:val="Emphasis"/>
        </w:rPr>
        <w:t>Christianity &amp; Religious Diversity: Clarifying Christian Commitments in a Globalizing Age</w:t>
      </w:r>
      <w:r>
        <w:t> is a product of many years of Harold A. Netland’s experience addressing the cluster of issues associated with the beforementioned responses. This paper summarizes and analyzes his views and offers the book’s value in its larger academic context.</w:t>
      </w:r>
    </w:p>
    <w:p w14:paraId="5B692609" w14:textId="12AE3F8A" w:rsidR="00AB484C" w:rsidRDefault="00AB484C" w:rsidP="00AD2C45">
      <w:pPr>
        <w:pStyle w:val="Heading1"/>
      </w:pPr>
      <w:bookmarkStart w:id="21" w:name="_Toc79332067"/>
      <w:r>
        <w:t>Summary</w:t>
      </w:r>
      <w:bookmarkEnd w:id="21"/>
    </w:p>
    <w:p w14:paraId="2A3FE3E7" w14:textId="54FC1071" w:rsidR="00617F7D" w:rsidRPr="00617F7D" w:rsidRDefault="00617F7D" w:rsidP="00AD2C45">
      <w:pPr>
        <w:ind w:firstLine="720"/>
        <w:rPr>
          <w:rFonts w:eastAsia="Times New Roman" w:cs="Times New Roman"/>
          <w:color w:val="0E101A"/>
          <w:szCs w:val="24"/>
        </w:rPr>
      </w:pPr>
      <w:r w:rsidRPr="00617F7D">
        <w:rPr>
          <w:rFonts w:eastAsia="Times New Roman" w:cs="Times New Roman"/>
          <w:color w:val="0E101A"/>
          <w:szCs w:val="24"/>
        </w:rPr>
        <w:t>Harold A. Netland introduces his book with a clear purpose. His book is an attempt to clarify certain basic concepts, to show how religions have been shaped by modernization and in turn adapted to it, and to explore some of the epistemological issues arising from Christians’ new awareness of religious diversity.</w:t>
      </w:r>
      <w:r>
        <w:rPr>
          <w:rStyle w:val="FootnoteReference"/>
        </w:rPr>
        <w:footnoteReference w:id="1"/>
      </w:r>
      <w:r w:rsidRPr="00617F7D">
        <w:rPr>
          <w:rFonts w:eastAsia="Times New Roman" w:cs="Times New Roman"/>
          <w:color w:val="0E101A"/>
          <w:szCs w:val="24"/>
        </w:rPr>
        <w:t>  To present his case, he divides his book into two parts: Religion(s) in a modern, globalizing world and Christian commitments in a pluralistic world.</w:t>
      </w:r>
    </w:p>
    <w:p w14:paraId="7016D91A" w14:textId="77627093" w:rsidR="00617F7D" w:rsidRPr="00617F7D" w:rsidRDefault="00617F7D" w:rsidP="000266DD">
      <w:pPr>
        <w:ind w:firstLine="720"/>
        <w:rPr>
          <w:rFonts w:eastAsia="Times New Roman" w:cs="Times New Roman"/>
          <w:color w:val="0E101A"/>
          <w:szCs w:val="24"/>
        </w:rPr>
      </w:pPr>
      <w:r w:rsidRPr="00617F7D">
        <w:rPr>
          <w:rFonts w:eastAsia="Times New Roman" w:cs="Times New Roman"/>
          <w:color w:val="0E101A"/>
          <w:szCs w:val="24"/>
        </w:rPr>
        <w:t>Part one encompasses four chapters. The first chapter explores the basic framework for understanding religions. Harold A. Netland avers that there are two ways to understand religions: the theological and phenomenological approaches. Regarding the theological approach, he observes that a Christian theology of religions must be shaped by biblical themes.”</w:t>
      </w:r>
      <w:r w:rsidRPr="00617F7D">
        <w:rPr>
          <w:rStyle w:val="FootnoteReference"/>
        </w:rPr>
        <w:t xml:space="preserve"> </w:t>
      </w:r>
      <w:r>
        <w:rPr>
          <w:rStyle w:val="FootnoteReference"/>
        </w:rPr>
        <w:footnoteReference w:id="2"/>
      </w:r>
      <w:r w:rsidRPr="00617F7D">
        <w:rPr>
          <w:rFonts w:eastAsia="Times New Roman" w:cs="Times New Roman"/>
          <w:color w:val="0E101A"/>
          <w:szCs w:val="24"/>
        </w:rPr>
        <w:t xml:space="preserve"> These themes include creation, grace, sin, and death. Furthermore, he notes in this chapter that all </w:t>
      </w:r>
      <w:r w:rsidRPr="00617F7D">
        <w:rPr>
          <w:rFonts w:eastAsia="Times New Roman" w:cs="Times New Roman"/>
          <w:color w:val="0E101A"/>
          <w:szCs w:val="24"/>
        </w:rPr>
        <w:lastRenderedPageBreak/>
        <w:t>people are inherently religious whether they acknowledge it or not.</w:t>
      </w:r>
      <w:r>
        <w:rPr>
          <w:rStyle w:val="FootnoteReference"/>
        </w:rPr>
        <w:footnoteReference w:id="3"/>
      </w:r>
      <w:r w:rsidRPr="00617F7D">
        <w:rPr>
          <w:rFonts w:eastAsia="Times New Roman" w:cs="Times New Roman"/>
          <w:color w:val="0E101A"/>
          <w:szCs w:val="24"/>
        </w:rPr>
        <w:t> As such, therefore, everyone has a way they view God.</w:t>
      </w:r>
    </w:p>
    <w:p w14:paraId="37939F86" w14:textId="71994A53" w:rsidR="00617F7D" w:rsidRPr="00617F7D" w:rsidRDefault="00617F7D" w:rsidP="00AD2C45">
      <w:pPr>
        <w:ind w:firstLine="720"/>
        <w:rPr>
          <w:rFonts w:eastAsia="Times New Roman" w:cs="Times New Roman"/>
          <w:color w:val="0E101A"/>
          <w:szCs w:val="24"/>
        </w:rPr>
      </w:pPr>
      <w:r w:rsidRPr="00617F7D">
        <w:rPr>
          <w:rFonts w:eastAsia="Times New Roman" w:cs="Times New Roman"/>
          <w:color w:val="0E101A"/>
          <w:szCs w:val="24"/>
        </w:rPr>
        <w:t>The phenomenological approach makes careful observation of the lived realities of actual religious communities.</w:t>
      </w:r>
      <w:r w:rsidRPr="00617F7D">
        <w:rPr>
          <w:rStyle w:val="FootnoteReference"/>
        </w:rPr>
        <w:t xml:space="preserve"> </w:t>
      </w:r>
      <w:r>
        <w:rPr>
          <w:rStyle w:val="FootnoteReference"/>
        </w:rPr>
        <w:footnoteReference w:id="4"/>
      </w:r>
      <w:r w:rsidRPr="00617F7D">
        <w:rPr>
          <w:rFonts w:eastAsia="Times New Roman" w:cs="Times New Roman"/>
          <w:color w:val="0E101A"/>
          <w:szCs w:val="24"/>
        </w:rPr>
        <w:t> Netland avers, “Neither cultures nor religions are completely self-contained, discrete, hermetically sealed systems that remain intact throughout time.”</w:t>
      </w:r>
      <w:r>
        <w:rPr>
          <w:rStyle w:val="FootnoteReference"/>
        </w:rPr>
        <w:footnoteReference w:id="5"/>
      </w:r>
      <w:r w:rsidRPr="00617F7D">
        <w:rPr>
          <w:rFonts w:eastAsia="Times New Roman" w:cs="Times New Roman"/>
          <w:color w:val="0E101A"/>
          <w:szCs w:val="24"/>
        </w:rPr>
        <w:t>  To put this in perspective, it means that even though Christians are required to remain faithful to what they believe in, they will do better if they acknowledged some truths in other religions. Harold A. Netland favors this approach over the theological approach because it enhances respectful coexistence with religious others.</w:t>
      </w:r>
    </w:p>
    <w:p w14:paraId="355BB2DE" w14:textId="2A6D7276" w:rsidR="00617F7D" w:rsidRPr="00617F7D" w:rsidRDefault="00617F7D" w:rsidP="00AD2C45">
      <w:pPr>
        <w:ind w:firstLine="720"/>
        <w:rPr>
          <w:rFonts w:eastAsia="Times New Roman" w:cs="Times New Roman"/>
          <w:color w:val="0E101A"/>
          <w:szCs w:val="24"/>
        </w:rPr>
      </w:pPr>
      <w:r w:rsidRPr="00617F7D">
        <w:rPr>
          <w:rFonts w:eastAsia="Times New Roman" w:cs="Times New Roman"/>
          <w:color w:val="0E101A"/>
          <w:szCs w:val="24"/>
        </w:rPr>
        <w:t>Chapter two examines ways in which religions have changed as they encountered the effects of modernization and globalization. These religions have continually redefined themselves as they struggle to hold on to what is normative from the past even as they adapt to fresh challenges and opportunities.</w:t>
      </w:r>
      <w:r>
        <w:rPr>
          <w:rStyle w:val="FootnoteReference"/>
        </w:rPr>
        <w:footnoteReference w:id="6"/>
      </w:r>
      <w:r w:rsidRPr="00617F7D">
        <w:rPr>
          <w:rFonts w:eastAsia="Times New Roman" w:cs="Times New Roman"/>
          <w:color w:val="0E101A"/>
          <w:szCs w:val="24"/>
        </w:rPr>
        <w:t> Harold A. Netland observes that three fundamental changes have happened as a result of these challenges. The first change he notes is in public institutions, whereas adherence to God has lost connection.</w:t>
      </w:r>
      <w:r>
        <w:rPr>
          <w:rStyle w:val="FootnoteReference"/>
        </w:rPr>
        <w:footnoteReference w:id="7"/>
      </w:r>
      <w:r w:rsidRPr="00617F7D">
        <w:rPr>
          <w:rFonts w:eastAsia="Times New Roman" w:cs="Times New Roman"/>
          <w:color w:val="0E101A"/>
          <w:szCs w:val="24"/>
        </w:rPr>
        <w:t> The second transformation is in the declining numbers of those who continually embrace traditional religious beliefs and practices.</w:t>
      </w:r>
      <w:r>
        <w:rPr>
          <w:rStyle w:val="FootnoteReference"/>
        </w:rPr>
        <w:footnoteReference w:id="8"/>
      </w:r>
      <w:r w:rsidRPr="00617F7D">
        <w:rPr>
          <w:rFonts w:eastAsia="Times New Roman" w:cs="Times New Roman"/>
          <w:color w:val="0E101A"/>
          <w:szCs w:val="24"/>
        </w:rPr>
        <w:t> And the third he asserts is that many people are increasingly letting go of their religious commitments.</w:t>
      </w:r>
      <w:r>
        <w:rPr>
          <w:rStyle w:val="FootnoteReference"/>
        </w:rPr>
        <w:footnoteReference w:id="9"/>
      </w:r>
    </w:p>
    <w:p w14:paraId="19E9CAAA" w14:textId="6E310F8C" w:rsidR="00617F7D" w:rsidRPr="00617F7D" w:rsidRDefault="00617F7D" w:rsidP="00AD2C45">
      <w:pPr>
        <w:ind w:firstLine="720"/>
        <w:rPr>
          <w:rFonts w:eastAsia="Times New Roman" w:cs="Times New Roman"/>
          <w:color w:val="0E101A"/>
          <w:szCs w:val="24"/>
        </w:rPr>
      </w:pPr>
      <w:r w:rsidRPr="00617F7D">
        <w:rPr>
          <w:rFonts w:eastAsia="Times New Roman" w:cs="Times New Roman"/>
          <w:color w:val="0E101A"/>
          <w:szCs w:val="24"/>
        </w:rPr>
        <w:lastRenderedPageBreak/>
        <w:t>In the third chapter, Netland uses the development of Buddhism over 2500 years as a case study. He wants to show how religion has been affected by modernism and globalization. Beginning by demonstrating how Buddhism started from the life of Siddhartha Gautama to how the three main schools of Theravada, Vajrayana, and Mahayana Buddhism came to be, Netland provides a moving history of events that resulted in the spread of Buddhism. One key strength that Netland points out concerning Buddhism is that it is a religion that morphs into the surrounding environment almost perfectly. As noted in this chapter, Buddhism initially was a missionary religion.</w:t>
      </w:r>
      <w:r>
        <w:rPr>
          <w:rStyle w:val="FootnoteReference"/>
        </w:rPr>
        <w:footnoteReference w:id="10"/>
      </w:r>
      <w:r w:rsidRPr="00617F7D">
        <w:rPr>
          <w:rFonts w:eastAsia="Times New Roman" w:cs="Times New Roman"/>
          <w:color w:val="0E101A"/>
          <w:szCs w:val="24"/>
        </w:rPr>
        <w:t> However, in the last few decades, it has camouflaged into a religion of tolerance. Buddhism does not aggressively seek to convert others or view others as wrong. As a result, it has increasingly become appealing to many intellectuals.</w:t>
      </w:r>
    </w:p>
    <w:p w14:paraId="39109155" w14:textId="34CC3D84" w:rsidR="00617F7D" w:rsidRPr="00617F7D" w:rsidRDefault="00617F7D" w:rsidP="00AD2C45">
      <w:pPr>
        <w:ind w:firstLine="720"/>
        <w:rPr>
          <w:rFonts w:eastAsia="Times New Roman" w:cs="Times New Roman"/>
          <w:color w:val="0E101A"/>
          <w:szCs w:val="24"/>
        </w:rPr>
      </w:pPr>
      <w:r w:rsidRPr="00617F7D">
        <w:rPr>
          <w:rFonts w:eastAsia="Times New Roman" w:cs="Times New Roman"/>
          <w:color w:val="0E101A"/>
          <w:szCs w:val="24"/>
        </w:rPr>
        <w:t>The fourth chapter addresses the question of who Jesus is in many religious understandings. Netland observes, “many people think of Jesus as a great religious and moral leader but one who is not qualitatively different from other great religious figures.”</w:t>
      </w:r>
      <w:r>
        <w:rPr>
          <w:rStyle w:val="FootnoteReference"/>
        </w:rPr>
        <w:footnoteReference w:id="11"/>
      </w:r>
      <w:r w:rsidRPr="00617F7D">
        <w:rPr>
          <w:rFonts w:eastAsia="Times New Roman" w:cs="Times New Roman"/>
          <w:color w:val="0E101A"/>
          <w:szCs w:val="24"/>
        </w:rPr>
        <w:t> In Islam, Jesus is considered one of the great prophets. In the Bahai faith, Jesus is viewed as the messenger of God. In Buddhism, he is the fully enlightened being. In Hinduism, he is viewed as a moral and spiritual leader. Nevertheless, despite the positive portrayal, Jesus is reduced to something other than what orthodox Christian teaching has maintained.</w:t>
      </w:r>
      <w:r>
        <w:rPr>
          <w:rStyle w:val="FootnoteReference"/>
        </w:rPr>
        <w:footnoteReference w:id="12"/>
      </w:r>
      <w:r w:rsidRPr="00617F7D">
        <w:rPr>
          <w:rFonts w:eastAsia="Times New Roman" w:cs="Times New Roman"/>
          <w:color w:val="0E101A"/>
          <w:szCs w:val="24"/>
        </w:rPr>
        <w:t>  He is not the Jesus of the Christian who is God incarnate, fully human and fully divine, the only Lord and Savior for all humankind.</w:t>
      </w:r>
      <w:r>
        <w:rPr>
          <w:rStyle w:val="FootnoteReference"/>
        </w:rPr>
        <w:footnoteReference w:id="13"/>
      </w:r>
    </w:p>
    <w:p w14:paraId="770BE3EB" w14:textId="27CEB153" w:rsidR="00617F7D" w:rsidRPr="00617F7D" w:rsidRDefault="00617F7D" w:rsidP="00AD2C45">
      <w:pPr>
        <w:ind w:firstLine="720"/>
        <w:rPr>
          <w:rFonts w:eastAsia="Times New Roman" w:cs="Times New Roman"/>
          <w:color w:val="0E101A"/>
          <w:szCs w:val="24"/>
        </w:rPr>
      </w:pPr>
      <w:r w:rsidRPr="00617F7D">
        <w:rPr>
          <w:rFonts w:eastAsia="Times New Roman" w:cs="Times New Roman"/>
          <w:color w:val="0E101A"/>
          <w:szCs w:val="24"/>
        </w:rPr>
        <w:t xml:space="preserve">Part two of the book considers the Christian commitments in a pluralistic world. Chapter five begins the section by exploring whether all religions can be true. The premise is that </w:t>
      </w:r>
      <w:r w:rsidRPr="00617F7D">
        <w:rPr>
          <w:rFonts w:eastAsia="Times New Roman" w:cs="Times New Roman"/>
          <w:color w:val="0E101A"/>
          <w:szCs w:val="24"/>
        </w:rPr>
        <w:lastRenderedPageBreak/>
        <w:t>religions include teachings or doctrines that are to be accepted as true by a specific religion’s believers.</w:t>
      </w:r>
      <w:r>
        <w:rPr>
          <w:rStyle w:val="FootnoteReference"/>
        </w:rPr>
        <w:footnoteReference w:id="14"/>
      </w:r>
      <w:r w:rsidRPr="00617F7D">
        <w:rPr>
          <w:rFonts w:eastAsia="Times New Roman" w:cs="Times New Roman"/>
          <w:color w:val="0E101A"/>
          <w:szCs w:val="24"/>
        </w:rPr>
        <w:t> As that is the case, then the assumption is that all religions must be true. Netland, however, notes that this assertion is problematic as these religions often have conflicting truth claims. To cite few examples, Christians and Muslims believe that God, the Eternal Creator created the Universe. The Buddhists deny this.</w:t>
      </w:r>
      <w:r>
        <w:rPr>
          <w:rStyle w:val="FootnoteReference"/>
        </w:rPr>
        <w:footnoteReference w:id="15"/>
      </w:r>
      <w:r w:rsidRPr="00617F7D">
        <w:rPr>
          <w:rFonts w:eastAsia="Times New Roman" w:cs="Times New Roman"/>
          <w:color w:val="0E101A"/>
          <w:szCs w:val="24"/>
        </w:rPr>
        <w:t xml:space="preserve"> Secondly, Christians insist that Jesus Christ is the incarnate Word of God, fully God and fully man. Muslims reject this as blasphemous.</w:t>
      </w:r>
      <w:r>
        <w:rPr>
          <w:rStyle w:val="FootnoteReference"/>
        </w:rPr>
        <w:footnoteReference w:id="16"/>
      </w:r>
      <w:r w:rsidRPr="00617F7D">
        <w:rPr>
          <w:rFonts w:eastAsia="Times New Roman" w:cs="Times New Roman"/>
          <w:color w:val="0E101A"/>
          <w:szCs w:val="24"/>
        </w:rPr>
        <w:t xml:space="preserve"> To reconcile these differences, Netland tries to make accessible some of the epistemological explanations some scholars such as</w:t>
      </w:r>
      <w:r w:rsidR="008F5ECA">
        <w:rPr>
          <w:rFonts w:eastAsia="Times New Roman" w:cs="Times New Roman"/>
          <w:color w:val="0E101A"/>
          <w:szCs w:val="24"/>
        </w:rPr>
        <w:t xml:space="preserve"> John Hick and</w:t>
      </w:r>
      <w:r w:rsidRPr="00617F7D">
        <w:rPr>
          <w:rFonts w:eastAsia="Times New Roman" w:cs="Times New Roman"/>
          <w:color w:val="0E101A"/>
          <w:szCs w:val="24"/>
        </w:rPr>
        <w:t xml:space="preserve"> Peter Byrne have given. John Hick for example advocates for religious pluralism as one way in which the vile hatred arising from these differences can be squelched.</w:t>
      </w:r>
    </w:p>
    <w:p w14:paraId="1E33AD74" w14:textId="4FBD1FF5" w:rsidR="00617F7D" w:rsidRPr="00617F7D" w:rsidRDefault="00617F7D" w:rsidP="00AD2C45">
      <w:pPr>
        <w:ind w:firstLine="720"/>
        <w:rPr>
          <w:rFonts w:eastAsia="Times New Roman" w:cs="Times New Roman"/>
          <w:color w:val="0E101A"/>
          <w:szCs w:val="24"/>
        </w:rPr>
      </w:pPr>
      <w:r w:rsidRPr="00617F7D">
        <w:rPr>
          <w:rFonts w:eastAsia="Times New Roman" w:cs="Times New Roman"/>
          <w:color w:val="0E101A"/>
          <w:szCs w:val="24"/>
        </w:rPr>
        <w:t>Chapter six explores the idea of Christianity being the one true religion. While adherents of each religion are justified in believing their religion is true, Netland argues that ultimately there can only ever be one true religion. Moreover, he avers, "A religious claim is true if the state of affairs to which it refers is as the claim asserts it to be."</w:t>
      </w:r>
      <w:r>
        <w:rPr>
          <w:rStyle w:val="FootnoteReference"/>
        </w:rPr>
        <w:footnoteReference w:id="17"/>
      </w:r>
      <w:r w:rsidRPr="00617F7D">
        <w:rPr>
          <w:rFonts w:eastAsia="Times New Roman" w:cs="Times New Roman"/>
          <w:color w:val="0E101A"/>
          <w:szCs w:val="24"/>
        </w:rPr>
        <w:t>  Thus, if the claims of Christianity concerning the gospel and the centrality of Jesus are true by any chance, then any defining belief or religion that does not correspond to these claims will be incomplete or false.</w:t>
      </w:r>
    </w:p>
    <w:p w14:paraId="3F91F104" w14:textId="16841E7A" w:rsidR="00617F7D" w:rsidRPr="00617F7D" w:rsidRDefault="00617F7D" w:rsidP="00AD2C45">
      <w:pPr>
        <w:ind w:firstLine="720"/>
        <w:rPr>
          <w:rFonts w:eastAsia="Times New Roman" w:cs="Times New Roman"/>
          <w:color w:val="0E101A"/>
          <w:szCs w:val="24"/>
        </w:rPr>
      </w:pPr>
      <w:r w:rsidRPr="00617F7D">
        <w:rPr>
          <w:rFonts w:eastAsia="Times New Roman" w:cs="Times New Roman"/>
          <w:color w:val="0E101A"/>
          <w:szCs w:val="24"/>
        </w:rPr>
        <w:t xml:space="preserve">The seventh chapter focuses on how Christians can respond to religious diversity and reasons of belief. The concern Netland raises is: Given the many religious and nonreligious worldviews available today, why should one accept the central claims of Christian theism as </w:t>
      </w:r>
      <w:r w:rsidRPr="00617F7D">
        <w:rPr>
          <w:rFonts w:eastAsia="Times New Roman" w:cs="Times New Roman"/>
          <w:color w:val="0E101A"/>
          <w:szCs w:val="24"/>
        </w:rPr>
        <w:lastRenderedPageBreak/>
        <w:t>true?</w:t>
      </w:r>
      <w:r w:rsidR="0035232A">
        <w:rPr>
          <w:rStyle w:val="FootnoteReference"/>
        </w:rPr>
        <w:footnoteReference w:id="18"/>
      </w:r>
      <w:r w:rsidRPr="00617F7D">
        <w:rPr>
          <w:rFonts w:eastAsia="Times New Roman" w:cs="Times New Roman"/>
          <w:color w:val="0E101A"/>
          <w:szCs w:val="24"/>
        </w:rPr>
        <w:t> The challenge posed by John Locke, David Hume, and Immanuel Kant is that the strength of one’s commitment to a belief should always be proportional to the evidence for that belief.</w:t>
      </w:r>
      <w:r w:rsidR="0035232A">
        <w:rPr>
          <w:rStyle w:val="FootnoteReference"/>
        </w:rPr>
        <w:footnoteReference w:id="19"/>
      </w:r>
      <w:r w:rsidRPr="00617F7D">
        <w:rPr>
          <w:rFonts w:eastAsia="Times New Roman" w:cs="Times New Roman"/>
          <w:color w:val="0E101A"/>
          <w:szCs w:val="24"/>
        </w:rPr>
        <w:t> For this reason, Netland spills quite a great deal of ink exploring the supportive views of many prominent scholars such as Robert Boyle, Alvin Plantinga, and Paul Griffiths</w:t>
      </w:r>
      <w:r w:rsidR="008F5ECA">
        <w:rPr>
          <w:rFonts w:eastAsia="Times New Roman" w:cs="Times New Roman"/>
          <w:color w:val="0E101A"/>
          <w:szCs w:val="24"/>
        </w:rPr>
        <w:t>.</w:t>
      </w:r>
    </w:p>
    <w:p w14:paraId="41C8592D" w14:textId="2C98125B" w:rsidR="00617F7D" w:rsidRPr="00AD2C45" w:rsidRDefault="00617F7D" w:rsidP="00AD2C45">
      <w:pPr>
        <w:ind w:firstLine="720"/>
        <w:rPr>
          <w:rFonts w:eastAsia="Times New Roman" w:cs="Times New Roman"/>
          <w:color w:val="0E101A"/>
          <w:szCs w:val="24"/>
        </w:rPr>
      </w:pPr>
      <w:r w:rsidRPr="00617F7D">
        <w:rPr>
          <w:rFonts w:eastAsia="Times New Roman" w:cs="Times New Roman"/>
          <w:color w:val="0E101A"/>
          <w:szCs w:val="24"/>
        </w:rPr>
        <w:t>Finally, chapter eight is an application chapter. Harold A. Netland's specific design is to help followers of Jesus Christ respond to the religiously diverse and pluralistic world of the early twenty-first century. To do this, he offers five themes. The first he notes is bearing witness to others is not optional but a command Secondly, he urges Christians to bear witness to the gospel in accordance with God’s love. Thirdly, he avers that Christian witness must be respectful of others and be conducted with humility and moral integrity. Fourthly, he says Christian witness should include appropriate forms of interreligious dialogue. Finally, he postulates Christians are to reject violence and the abuse of power in witness</w:t>
      </w:r>
      <w:r w:rsidR="0035232A">
        <w:rPr>
          <w:rFonts w:eastAsia="Times New Roman" w:cs="Times New Roman"/>
          <w:color w:val="0E101A"/>
          <w:szCs w:val="24"/>
        </w:rPr>
        <w:t>.</w:t>
      </w:r>
      <w:r w:rsidR="0035232A">
        <w:rPr>
          <w:rStyle w:val="FootnoteReference"/>
        </w:rPr>
        <w:footnoteReference w:id="20"/>
      </w:r>
      <w:r w:rsidRPr="00617F7D">
        <w:rPr>
          <w:rFonts w:eastAsia="Times New Roman" w:cs="Times New Roman"/>
          <w:color w:val="0E101A"/>
          <w:szCs w:val="24"/>
        </w:rPr>
        <w:t>  In closing, Netland vouches for basic principles for living as Christ’s disciples in religiously diverse contexts while encouraging Christians to embrace Christian apologetics as part of a comprehensive Christian witness today.</w:t>
      </w:r>
    </w:p>
    <w:p w14:paraId="01FE1420" w14:textId="7B09CEA7" w:rsidR="00AB484C" w:rsidRDefault="00AB484C" w:rsidP="00F47712">
      <w:pPr>
        <w:pStyle w:val="Heading1"/>
      </w:pPr>
      <w:bookmarkStart w:id="22" w:name="_Toc79332068"/>
      <w:r>
        <w:t>Critical Evaluation</w:t>
      </w:r>
      <w:bookmarkEnd w:id="22"/>
    </w:p>
    <w:p w14:paraId="61A6E36E" w14:textId="5043F07B" w:rsidR="00D17F4C" w:rsidRDefault="00D17F4C" w:rsidP="00AD2C45">
      <w:pPr>
        <w:ind w:firstLine="720"/>
      </w:pPr>
      <w:r>
        <w:t xml:space="preserve">Harold A. Netland has gone out of his way to clarify the basic concepts about religion. He has shown how modernization and globalization have transformed religions. Moreover, he has examined the unavoidable epistemological issues arising from Christians’ new awareness of religious diversity. To say that he has achieved his objective is an understatement. One particular strength about his work is that though he is opposed to religious pluralism, he does not suppress </w:t>
      </w:r>
      <w:r>
        <w:lastRenderedPageBreak/>
        <w:t>the views of those who support it. Rather he goes the extra mile and includes their views in great detail.  When reading this book, one feels like he has gotten a broad scope of religions.</w:t>
      </w:r>
    </w:p>
    <w:p w14:paraId="5A6FD6C4" w14:textId="77777777" w:rsidR="00D17F4C" w:rsidRDefault="00D17F4C" w:rsidP="00D17F4C">
      <w:r>
        <w:t>Another key strength of this book is the number of scholarly works that the author interacts with to validate his points. Generally, Netland averages more than seventy citations per chapter. Besides, every claim that Netland points out is directly from an authority of the said religion or philosophy. That said, he does not shy from expressing how their arguments face insurmountable problems. Some of the most distinguished authors he shares views from include David Hume, Alvin Plantinga, Paul Tillich, and John Hick.</w:t>
      </w:r>
    </w:p>
    <w:p w14:paraId="0F8EF4F3" w14:textId="77777777" w:rsidR="00D17F4C" w:rsidRDefault="00D17F4C" w:rsidP="00AD2C45">
      <w:pPr>
        <w:ind w:firstLine="720"/>
      </w:pPr>
      <w:r>
        <w:t xml:space="preserve">Finally, whereas there is no glaring weakness in this book, the book could have been much better if Harold A. Netland included a perspective from traditional religions of Africa. Though there is not much published on the subject, a few books such as </w:t>
      </w:r>
      <w:r w:rsidRPr="00AD2C45">
        <w:rPr>
          <w:i/>
          <w:iCs/>
        </w:rPr>
        <w:t>African Christianity: The Stranger Within</w:t>
      </w:r>
      <w:r>
        <w:t xml:space="preserve"> by Joseph </w:t>
      </w:r>
      <w:proofErr w:type="spellStart"/>
      <w:r>
        <w:t>Galgalo</w:t>
      </w:r>
      <w:proofErr w:type="spellEnd"/>
      <w:r>
        <w:t xml:space="preserve"> (2012), can bring a proper perspective towards understanding religious pluralism from an African context.</w:t>
      </w:r>
    </w:p>
    <w:p w14:paraId="7A57B649" w14:textId="77777777" w:rsidR="00D17F4C" w:rsidRDefault="00D17F4C" w:rsidP="00AD2C45">
      <w:pPr>
        <w:ind w:firstLine="720"/>
      </w:pPr>
      <w:r>
        <w:t>Netland does a great job in chapter six explaining the idea of Christianity being the true religion. He zeros on the gospel and the centrality of Jesus. Perhaps a suggestion that could have made his claims much better could be offering more details about the ecumenical consensus achieved by the councils of Nicaea 1 &amp;2 and Chalcedon. Merely mentioning them does not do justice to the input that these councils brought to the doctrine of Christology.</w:t>
      </w:r>
    </w:p>
    <w:p w14:paraId="11F90E93" w14:textId="77777777" w:rsidR="00D17F4C" w:rsidRDefault="00D17F4C" w:rsidP="00AD2C45">
      <w:pPr>
        <w:pStyle w:val="Heading1"/>
      </w:pPr>
      <w:bookmarkStart w:id="23" w:name="_Toc79332069"/>
      <w:r>
        <w:t>Conclusion</w:t>
      </w:r>
      <w:bookmarkEnd w:id="23"/>
    </w:p>
    <w:p w14:paraId="4249CEB6" w14:textId="11C4A94F" w:rsidR="0035232A" w:rsidRPr="0035232A" w:rsidRDefault="00D17F4C" w:rsidP="00AD2C45">
      <w:pPr>
        <w:ind w:firstLine="720"/>
      </w:pPr>
      <w:r>
        <w:t xml:space="preserve">Christianity &amp; Religious Diversity unarguably is a necessary contribution to the philosophical and theological discussion. In a religiously diverse and globalized world, that is increasingly pluralistic, Netland offers vital principles on how Christians can keep their commitments. Thus, Netland has achieved what he set out to do in this book: He has clarified </w:t>
      </w:r>
      <w:r>
        <w:lastRenderedPageBreak/>
        <w:t>basic concepts of religions, shown how religions have been shaped by modernization and globalization and how they, in turn, have adapted to it, and finally explored some of the epistemological issues arising from Christians’ new awareness of religious diversity. The value of this book is in the life that it brings on witnessing to the lost. Christians can go out to the marketplace, to schools, and to public institutions and engage the lost knowing that what they have learned from this book is sufficient enough to build their case before those who in one way or another have already obtained some false hope in other religions. In saying this, it is not Netland’s intention to discredit other religions. On the contrary, he firmly beliefs that Christians can be entirely faithful to the biblical witness and still acknowledge that there is some truth, beauty, and goodness in other religions.</w:t>
      </w:r>
      <w:r w:rsidRPr="00D17F4C">
        <w:rPr>
          <w:rStyle w:val="FootnoteReference"/>
        </w:rPr>
        <w:t xml:space="preserve"> </w:t>
      </w:r>
      <w:r>
        <w:rPr>
          <w:rStyle w:val="FootnoteReference"/>
        </w:rPr>
        <w:footnoteReference w:id="21"/>
      </w:r>
    </w:p>
    <w:p w14:paraId="2BD5AC65" w14:textId="3F4376CF" w:rsidR="00F47712" w:rsidRPr="00F47712" w:rsidRDefault="00AD2C45" w:rsidP="00F47712">
      <w:r>
        <w:br w:type="page"/>
      </w:r>
    </w:p>
    <w:p w14:paraId="3B888F0C" w14:textId="24CF53B5" w:rsidR="00DD7DF3" w:rsidRDefault="00DD7DF3" w:rsidP="00F35DFA">
      <w:pPr>
        <w:pStyle w:val="Heading1"/>
      </w:pPr>
      <w:bookmarkStart w:id="24" w:name="_Toc79332070"/>
      <w:r w:rsidRPr="00810CAB">
        <w:lastRenderedPageBreak/>
        <w:t>Bibliography</w:t>
      </w:r>
      <w:bookmarkEnd w:id="24"/>
    </w:p>
    <w:p w14:paraId="1D4B0102" w14:textId="77777777" w:rsidR="00B82D3F" w:rsidRDefault="00B82D3F" w:rsidP="00B82D3F">
      <w:pPr>
        <w:pStyle w:val="NormalWeb"/>
        <w:shd w:val="clear" w:color="auto" w:fill="FFFFFF"/>
        <w:spacing w:before="0" w:beforeAutospacing="0" w:after="240" w:afterAutospacing="0"/>
        <w:ind w:left="720" w:hanging="720"/>
        <w:rPr>
          <w:color w:val="212529"/>
        </w:rPr>
      </w:pPr>
      <w:r w:rsidRPr="005A18FB">
        <w:rPr>
          <w:color w:val="212529"/>
        </w:rPr>
        <w:t>Netland, Harold A. </w:t>
      </w:r>
      <w:r w:rsidRPr="005A18FB">
        <w:rPr>
          <w:rStyle w:val="Emphasis"/>
          <w:rFonts w:eastAsiaTheme="majorEastAsia"/>
          <w:color w:val="212529"/>
        </w:rPr>
        <w:t>Christianity &amp; Religious Diversity: Clarifying Christian Commitments in a Globalizing Age</w:t>
      </w:r>
      <w:r w:rsidRPr="005A18FB">
        <w:rPr>
          <w:color w:val="212529"/>
        </w:rPr>
        <w:t>. Grand Rapids: Baker Academic, 201</w:t>
      </w:r>
      <w:r>
        <w:rPr>
          <w:color w:val="212529"/>
        </w:rPr>
        <w:t>9</w:t>
      </w:r>
      <w:r w:rsidRPr="005A18FB">
        <w:rPr>
          <w:color w:val="212529"/>
        </w:rPr>
        <w:t xml:space="preserve">. </w:t>
      </w:r>
    </w:p>
    <w:p w14:paraId="1BFD2FB0" w14:textId="77777777" w:rsidR="00CB634F" w:rsidRDefault="00CB634F" w:rsidP="003B151C">
      <w:pPr>
        <w:pStyle w:val="NormalWeb"/>
        <w:shd w:val="clear" w:color="auto" w:fill="FFFFFF"/>
        <w:spacing w:before="0" w:beforeAutospacing="0" w:after="240" w:afterAutospacing="0"/>
        <w:ind w:left="720" w:hanging="720"/>
        <w:rPr>
          <w:color w:val="212529"/>
        </w:rPr>
      </w:pPr>
    </w:p>
    <w:p w14:paraId="4AE538F5" w14:textId="07222EF3" w:rsidR="003B151C" w:rsidRPr="00810CAB" w:rsidRDefault="003B151C" w:rsidP="003B151C">
      <w:pPr>
        <w:spacing w:after="240" w:line="240" w:lineRule="auto"/>
        <w:ind w:left="720" w:hanging="720"/>
        <w:rPr>
          <w:rFonts w:cs="Times New Roman"/>
          <w:szCs w:val="24"/>
        </w:rPr>
      </w:pPr>
    </w:p>
    <w:sectPr w:rsidR="003B151C" w:rsidRPr="00810CAB" w:rsidSect="00A36B5C">
      <w:headerReference w:type="default" r:id="rId9"/>
      <w:footerReference w:type="default" r:id="rId10"/>
      <w:headerReference w:type="first" r:id="rId11"/>
      <w:footerReference w:type="first" r:id="rId12"/>
      <w:pgSz w:w="12240" w:h="15840"/>
      <w:pgMar w:top="1440" w:right="1440" w:bottom="1440" w:left="1440"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E2122C2" w14:textId="77777777" w:rsidR="006964D5" w:rsidRDefault="006964D5" w:rsidP="00DF7AA0">
      <w:pPr>
        <w:spacing w:line="240" w:lineRule="auto"/>
      </w:pPr>
      <w:r>
        <w:separator/>
      </w:r>
    </w:p>
  </w:endnote>
  <w:endnote w:type="continuationSeparator" w:id="0">
    <w:p w14:paraId="2888C783" w14:textId="77777777" w:rsidR="006964D5" w:rsidRDefault="006964D5" w:rsidP="00DF7AA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6467844"/>
      <w:docPartObj>
        <w:docPartGallery w:val="Page Numbers (Bottom of Page)"/>
        <w:docPartUnique/>
      </w:docPartObj>
    </w:sdtPr>
    <w:sdtEndPr>
      <w:rPr>
        <w:noProof/>
      </w:rPr>
    </w:sdtEndPr>
    <w:sdtContent>
      <w:p w14:paraId="5D77C679" w14:textId="77777777" w:rsidR="00ED27B4" w:rsidRDefault="00ED27B4">
        <w:pPr>
          <w:pStyle w:val="Footer"/>
          <w:jc w:val="center"/>
        </w:pPr>
        <w:r>
          <w:fldChar w:fldCharType="begin"/>
        </w:r>
        <w:r>
          <w:instrText xml:space="preserve"> PAGE   \* MERGEFORMAT </w:instrText>
        </w:r>
        <w:r>
          <w:fldChar w:fldCharType="separate"/>
        </w:r>
        <w:r>
          <w:rPr>
            <w:noProof/>
          </w:rPr>
          <w:t>iii</w:t>
        </w:r>
        <w:r>
          <w:rPr>
            <w:noProof/>
          </w:rPr>
          <w:fldChar w:fldCharType="end"/>
        </w:r>
      </w:p>
    </w:sdtContent>
  </w:sdt>
  <w:p w14:paraId="5706018C" w14:textId="77777777" w:rsidR="00ED27B4" w:rsidRDefault="00ED27B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79D962" w14:textId="77777777" w:rsidR="00ED27B4" w:rsidRPr="000270DC" w:rsidRDefault="00ED27B4" w:rsidP="00A36B5C">
    <w:pPr>
      <w:jc w:val="center"/>
      <w:rPr>
        <w:sz w:val="20"/>
        <w:szCs w:val="2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00E51C" w14:textId="77777777" w:rsidR="00ED27B4" w:rsidRPr="004B3ACC" w:rsidRDefault="00ED27B4" w:rsidP="00A36B5C">
    <w:pPr>
      <w:pStyle w:val="BodyText"/>
      <w:jc w:val="center"/>
      <w:rPr>
        <w:noProof/>
      </w:rPr>
    </w:pPr>
    <w:r w:rsidRPr="004B3ACC">
      <w:fldChar w:fldCharType="begin"/>
    </w:r>
    <w:r w:rsidRPr="004B3ACC">
      <w:instrText xml:space="preserve"> PAGE   \* MERGEFORMAT </w:instrText>
    </w:r>
    <w:r w:rsidRPr="004B3ACC">
      <w:fldChar w:fldCharType="separate"/>
    </w:r>
    <w:r w:rsidRPr="004B3ACC">
      <w:rPr>
        <w:noProof/>
      </w:rPr>
      <w:t>2</w:t>
    </w:r>
    <w:r w:rsidRPr="004B3ACC">
      <w:rPr>
        <w:noProof/>
      </w:rPr>
      <w:fldChar w:fldCharType="end"/>
    </w:r>
  </w:p>
  <w:p w14:paraId="6F6258F5" w14:textId="77777777" w:rsidR="00ED27B4" w:rsidRDefault="00ED27B4" w:rsidP="00A36B5C">
    <w:pPr>
      <w:pStyle w:val="Footer"/>
      <w:jc w:val="cen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01951801"/>
      <w:docPartObj>
        <w:docPartGallery w:val="Page Numbers (Bottom of Page)"/>
        <w:docPartUnique/>
      </w:docPartObj>
    </w:sdtPr>
    <w:sdtEndPr>
      <w:rPr>
        <w:noProof/>
      </w:rPr>
    </w:sdtEndPr>
    <w:sdtContent>
      <w:p w14:paraId="5B727129" w14:textId="77777777" w:rsidR="00ED27B4" w:rsidRDefault="006964D5" w:rsidP="00A36B5C">
        <w:pPr>
          <w:pStyle w:val="Footer"/>
          <w:jc w:val="center"/>
        </w:pP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EA22A62" w14:textId="77777777" w:rsidR="006964D5" w:rsidRDefault="006964D5" w:rsidP="00DF7AA0">
      <w:pPr>
        <w:spacing w:line="240" w:lineRule="auto"/>
      </w:pPr>
      <w:r>
        <w:separator/>
      </w:r>
    </w:p>
  </w:footnote>
  <w:footnote w:type="continuationSeparator" w:id="0">
    <w:p w14:paraId="0BE28516" w14:textId="77777777" w:rsidR="006964D5" w:rsidRDefault="006964D5" w:rsidP="00DF7AA0">
      <w:pPr>
        <w:spacing w:line="240" w:lineRule="auto"/>
      </w:pPr>
      <w:r>
        <w:continuationSeparator/>
      </w:r>
    </w:p>
  </w:footnote>
  <w:footnote w:id="1">
    <w:p w14:paraId="14CFD4C3" w14:textId="77777777" w:rsidR="00617F7D" w:rsidRDefault="00617F7D" w:rsidP="00617F7D">
      <w:pPr>
        <w:pStyle w:val="FootnoteText"/>
      </w:pPr>
      <w:r>
        <w:rPr>
          <w:rStyle w:val="FootnoteReference"/>
        </w:rPr>
        <w:footnoteRef/>
      </w:r>
      <w:r>
        <w:t xml:space="preserve"> </w:t>
      </w:r>
      <w:r w:rsidRPr="00751EA7">
        <w:t xml:space="preserve">Harold A. Netland, </w:t>
      </w:r>
      <w:r w:rsidRPr="00751EA7">
        <w:rPr>
          <w:i/>
          <w:iCs/>
        </w:rPr>
        <w:t>Christianity &amp; Religious Diversity: Clarifying Christian Commitments in a Globalizing Age</w:t>
      </w:r>
      <w:r>
        <w:t xml:space="preserve"> (</w:t>
      </w:r>
      <w:r w:rsidRPr="00751EA7">
        <w:t>Grand Rapids: Baker Academic, 2019</w:t>
      </w:r>
      <w:r>
        <w:t>), x.</w:t>
      </w:r>
    </w:p>
  </w:footnote>
  <w:footnote w:id="2">
    <w:p w14:paraId="1437F8C1" w14:textId="77777777" w:rsidR="00617F7D" w:rsidRDefault="00617F7D" w:rsidP="00617F7D">
      <w:pPr>
        <w:pStyle w:val="FootnoteText"/>
      </w:pPr>
      <w:r>
        <w:rPr>
          <w:rStyle w:val="FootnoteReference"/>
        </w:rPr>
        <w:footnoteRef/>
      </w:r>
      <w:r>
        <w:t xml:space="preserve"> Ibid., 7.</w:t>
      </w:r>
    </w:p>
  </w:footnote>
  <w:footnote w:id="3">
    <w:p w14:paraId="18731B58" w14:textId="77777777" w:rsidR="00617F7D" w:rsidRDefault="00617F7D" w:rsidP="00617F7D">
      <w:pPr>
        <w:pStyle w:val="FootnoteText"/>
      </w:pPr>
      <w:r>
        <w:rPr>
          <w:rStyle w:val="FootnoteReference"/>
        </w:rPr>
        <w:footnoteRef/>
      </w:r>
      <w:r>
        <w:t xml:space="preserve"> Ibid., 7.</w:t>
      </w:r>
    </w:p>
  </w:footnote>
  <w:footnote w:id="4">
    <w:p w14:paraId="63606CBC" w14:textId="77777777" w:rsidR="00617F7D" w:rsidRDefault="00617F7D" w:rsidP="00617F7D">
      <w:pPr>
        <w:pStyle w:val="FootnoteText"/>
      </w:pPr>
      <w:r>
        <w:rPr>
          <w:rStyle w:val="FootnoteReference"/>
        </w:rPr>
        <w:footnoteRef/>
      </w:r>
      <w:r>
        <w:t xml:space="preserve"> Ibid., 9.</w:t>
      </w:r>
    </w:p>
  </w:footnote>
  <w:footnote w:id="5">
    <w:p w14:paraId="7776B8A6" w14:textId="77777777" w:rsidR="00617F7D" w:rsidRDefault="00617F7D" w:rsidP="00617F7D">
      <w:pPr>
        <w:pStyle w:val="FootnoteText"/>
      </w:pPr>
      <w:r>
        <w:rPr>
          <w:rStyle w:val="FootnoteReference"/>
        </w:rPr>
        <w:footnoteRef/>
      </w:r>
      <w:r>
        <w:t xml:space="preserve"> Ibid., 36.</w:t>
      </w:r>
    </w:p>
  </w:footnote>
  <w:footnote w:id="6">
    <w:p w14:paraId="00ED4A53" w14:textId="77777777" w:rsidR="00617F7D" w:rsidRDefault="00617F7D" w:rsidP="00617F7D">
      <w:pPr>
        <w:pStyle w:val="FootnoteText"/>
      </w:pPr>
      <w:r>
        <w:rPr>
          <w:rStyle w:val="FootnoteReference"/>
        </w:rPr>
        <w:footnoteRef/>
      </w:r>
      <w:r>
        <w:t xml:space="preserve"> Ibid., 41.</w:t>
      </w:r>
    </w:p>
  </w:footnote>
  <w:footnote w:id="7">
    <w:p w14:paraId="0BF73C53" w14:textId="77777777" w:rsidR="00617F7D" w:rsidRDefault="00617F7D" w:rsidP="00617F7D">
      <w:pPr>
        <w:pStyle w:val="FootnoteText"/>
      </w:pPr>
      <w:r>
        <w:rPr>
          <w:rStyle w:val="FootnoteReference"/>
        </w:rPr>
        <w:footnoteRef/>
      </w:r>
      <w:r>
        <w:t xml:space="preserve"> Ibid., 62.</w:t>
      </w:r>
    </w:p>
  </w:footnote>
  <w:footnote w:id="8">
    <w:p w14:paraId="2086AE6C" w14:textId="77777777" w:rsidR="00617F7D" w:rsidRDefault="00617F7D" w:rsidP="00617F7D">
      <w:pPr>
        <w:pStyle w:val="FootnoteText"/>
      </w:pPr>
      <w:r>
        <w:rPr>
          <w:rStyle w:val="FootnoteReference"/>
        </w:rPr>
        <w:footnoteRef/>
      </w:r>
      <w:r>
        <w:t xml:space="preserve"> Ibid., 62.</w:t>
      </w:r>
    </w:p>
  </w:footnote>
  <w:footnote w:id="9">
    <w:p w14:paraId="773ED498" w14:textId="77777777" w:rsidR="00617F7D" w:rsidRDefault="00617F7D" w:rsidP="00617F7D">
      <w:pPr>
        <w:pStyle w:val="FootnoteText"/>
      </w:pPr>
      <w:r>
        <w:rPr>
          <w:rStyle w:val="FootnoteReference"/>
        </w:rPr>
        <w:footnoteRef/>
      </w:r>
      <w:r>
        <w:t xml:space="preserve"> Ibid., 62.</w:t>
      </w:r>
    </w:p>
  </w:footnote>
  <w:footnote w:id="10">
    <w:p w14:paraId="516BC961" w14:textId="77777777" w:rsidR="00617F7D" w:rsidRDefault="00617F7D" w:rsidP="00617F7D">
      <w:pPr>
        <w:pStyle w:val="FootnoteText"/>
      </w:pPr>
      <w:r>
        <w:rPr>
          <w:rStyle w:val="FootnoteReference"/>
        </w:rPr>
        <w:footnoteRef/>
      </w:r>
      <w:r>
        <w:t xml:space="preserve"> Ibid., 74.</w:t>
      </w:r>
    </w:p>
  </w:footnote>
  <w:footnote w:id="11">
    <w:p w14:paraId="1E157AB4" w14:textId="77777777" w:rsidR="00617F7D" w:rsidRDefault="00617F7D" w:rsidP="00617F7D">
      <w:pPr>
        <w:pStyle w:val="FootnoteText"/>
      </w:pPr>
      <w:r>
        <w:rPr>
          <w:rStyle w:val="FootnoteReference"/>
        </w:rPr>
        <w:footnoteRef/>
      </w:r>
      <w:r>
        <w:t xml:space="preserve"> Ibid., 104.</w:t>
      </w:r>
    </w:p>
  </w:footnote>
  <w:footnote w:id="12">
    <w:p w14:paraId="7FDC7623" w14:textId="77777777" w:rsidR="00617F7D" w:rsidRDefault="00617F7D" w:rsidP="00617F7D">
      <w:pPr>
        <w:pStyle w:val="FootnoteText"/>
      </w:pPr>
      <w:r>
        <w:rPr>
          <w:rStyle w:val="FootnoteReference"/>
        </w:rPr>
        <w:footnoteRef/>
      </w:r>
      <w:r>
        <w:t xml:space="preserve"> Ibid., 103</w:t>
      </w:r>
    </w:p>
  </w:footnote>
  <w:footnote w:id="13">
    <w:p w14:paraId="4108CFF8" w14:textId="77777777" w:rsidR="00617F7D" w:rsidRDefault="00617F7D" w:rsidP="00617F7D">
      <w:pPr>
        <w:pStyle w:val="FootnoteText"/>
      </w:pPr>
      <w:r>
        <w:rPr>
          <w:rStyle w:val="FootnoteReference"/>
        </w:rPr>
        <w:footnoteRef/>
      </w:r>
      <w:r>
        <w:t xml:space="preserve"> Ibid., 103.</w:t>
      </w:r>
    </w:p>
  </w:footnote>
  <w:footnote w:id="14">
    <w:p w14:paraId="78EEF237" w14:textId="77777777" w:rsidR="00617F7D" w:rsidRDefault="00617F7D" w:rsidP="00617F7D">
      <w:pPr>
        <w:pStyle w:val="FootnoteText"/>
      </w:pPr>
      <w:r>
        <w:rPr>
          <w:rStyle w:val="FootnoteReference"/>
        </w:rPr>
        <w:footnoteRef/>
      </w:r>
      <w:r>
        <w:t xml:space="preserve"> Ibid., 137.</w:t>
      </w:r>
    </w:p>
  </w:footnote>
  <w:footnote w:id="15">
    <w:p w14:paraId="40006FF2" w14:textId="77777777" w:rsidR="00617F7D" w:rsidRDefault="00617F7D" w:rsidP="00617F7D">
      <w:pPr>
        <w:pStyle w:val="FootnoteText"/>
      </w:pPr>
      <w:r>
        <w:rPr>
          <w:rStyle w:val="FootnoteReference"/>
        </w:rPr>
        <w:footnoteRef/>
      </w:r>
      <w:r>
        <w:t xml:space="preserve"> Ibid., 139.</w:t>
      </w:r>
    </w:p>
  </w:footnote>
  <w:footnote w:id="16">
    <w:p w14:paraId="77648259" w14:textId="77777777" w:rsidR="00617F7D" w:rsidRDefault="00617F7D" w:rsidP="00617F7D">
      <w:pPr>
        <w:pStyle w:val="FootnoteText"/>
      </w:pPr>
      <w:r>
        <w:rPr>
          <w:rStyle w:val="FootnoteReference"/>
        </w:rPr>
        <w:footnoteRef/>
      </w:r>
      <w:r>
        <w:t xml:space="preserve"> Ibid., 139.</w:t>
      </w:r>
    </w:p>
  </w:footnote>
  <w:footnote w:id="17">
    <w:p w14:paraId="6EAA408F" w14:textId="77777777" w:rsidR="00617F7D" w:rsidRDefault="00617F7D" w:rsidP="00617F7D">
      <w:pPr>
        <w:pStyle w:val="FootnoteText"/>
      </w:pPr>
      <w:r>
        <w:rPr>
          <w:rStyle w:val="FootnoteReference"/>
        </w:rPr>
        <w:footnoteRef/>
      </w:r>
      <w:r>
        <w:t xml:space="preserve"> Ibid., 182.</w:t>
      </w:r>
    </w:p>
  </w:footnote>
  <w:footnote w:id="18">
    <w:p w14:paraId="25E95987" w14:textId="77777777" w:rsidR="0035232A" w:rsidRDefault="0035232A" w:rsidP="0035232A">
      <w:pPr>
        <w:pStyle w:val="FootnoteText"/>
      </w:pPr>
      <w:r>
        <w:rPr>
          <w:rStyle w:val="FootnoteReference"/>
        </w:rPr>
        <w:footnoteRef/>
      </w:r>
      <w:r>
        <w:t xml:space="preserve"> Ibid., 199.</w:t>
      </w:r>
    </w:p>
  </w:footnote>
  <w:footnote w:id="19">
    <w:p w14:paraId="1DEE8AA5" w14:textId="77777777" w:rsidR="0035232A" w:rsidRDefault="0035232A" w:rsidP="0035232A">
      <w:pPr>
        <w:pStyle w:val="FootnoteText"/>
      </w:pPr>
      <w:r>
        <w:rPr>
          <w:rStyle w:val="FootnoteReference"/>
        </w:rPr>
        <w:footnoteRef/>
      </w:r>
      <w:r>
        <w:t xml:space="preserve"> Ibid., 202.</w:t>
      </w:r>
    </w:p>
  </w:footnote>
  <w:footnote w:id="20">
    <w:p w14:paraId="199BC02E" w14:textId="77777777" w:rsidR="0035232A" w:rsidRDefault="0035232A" w:rsidP="0035232A">
      <w:pPr>
        <w:pStyle w:val="FootnoteText"/>
      </w:pPr>
      <w:r>
        <w:rPr>
          <w:rStyle w:val="FootnoteReference"/>
        </w:rPr>
        <w:footnoteRef/>
      </w:r>
      <w:r>
        <w:t xml:space="preserve"> Ibid., 237-241.</w:t>
      </w:r>
    </w:p>
  </w:footnote>
  <w:footnote w:id="21">
    <w:p w14:paraId="4D32F130" w14:textId="77777777" w:rsidR="00D17F4C" w:rsidRDefault="00D17F4C" w:rsidP="00D17F4C">
      <w:pPr>
        <w:pStyle w:val="FootnoteText"/>
      </w:pPr>
      <w:r>
        <w:rPr>
          <w:rStyle w:val="FootnoteReference"/>
        </w:rPr>
        <w:footnoteRef/>
      </w:r>
      <w:r>
        <w:t xml:space="preserve"> Ibid., 180</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E3F24C" w14:textId="77777777" w:rsidR="00ED27B4" w:rsidRDefault="00ED27B4" w:rsidP="00A36B5C">
    <w:pPr>
      <w:pStyle w:val="Header"/>
    </w:pPr>
  </w:p>
  <w:p w14:paraId="20D2F014" w14:textId="77777777" w:rsidR="00ED27B4" w:rsidRDefault="00ED27B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38206286"/>
      <w:docPartObj>
        <w:docPartGallery w:val="Page Numbers (Top of Page)"/>
        <w:docPartUnique/>
      </w:docPartObj>
    </w:sdtPr>
    <w:sdtEndPr>
      <w:rPr>
        <w:noProof/>
      </w:rPr>
    </w:sdtEndPr>
    <w:sdtContent>
      <w:p w14:paraId="11D6F486" w14:textId="77777777" w:rsidR="00ED27B4" w:rsidRDefault="00ED27B4">
        <w:pPr>
          <w:pStyle w:val="Header"/>
          <w:jc w:val="right"/>
        </w:pPr>
        <w:r>
          <w:fldChar w:fldCharType="begin"/>
        </w:r>
        <w:r>
          <w:instrText xml:space="preserve"> PAGE   \* MERGEFORMAT </w:instrText>
        </w:r>
        <w:r>
          <w:fldChar w:fldCharType="separate"/>
        </w:r>
        <w:r>
          <w:rPr>
            <w:noProof/>
          </w:rPr>
          <w:t>21</w:t>
        </w:r>
        <w:r>
          <w:rPr>
            <w:noProof/>
          </w:rPr>
          <w:fldChar w:fldCharType="end"/>
        </w:r>
      </w:p>
    </w:sdtContent>
  </w:sdt>
  <w:p w14:paraId="7E6F8028" w14:textId="77777777" w:rsidR="00ED27B4" w:rsidRPr="00DA0F88" w:rsidRDefault="00ED27B4" w:rsidP="00A36B5C">
    <w:pPr>
      <w:pStyle w:val="Header"/>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449C8"/>
    <w:rsid w:val="0000239A"/>
    <w:rsid w:val="000108B0"/>
    <w:rsid w:val="00011496"/>
    <w:rsid w:val="000266DD"/>
    <w:rsid w:val="00037E92"/>
    <w:rsid w:val="0004285A"/>
    <w:rsid w:val="000447AF"/>
    <w:rsid w:val="00045F7B"/>
    <w:rsid w:val="0006299D"/>
    <w:rsid w:val="00063161"/>
    <w:rsid w:val="0008569C"/>
    <w:rsid w:val="000B1EDA"/>
    <w:rsid w:val="000C2FB6"/>
    <w:rsid w:val="000D2B1D"/>
    <w:rsid w:val="000D41A4"/>
    <w:rsid w:val="000E6190"/>
    <w:rsid w:val="00101FF8"/>
    <w:rsid w:val="00106286"/>
    <w:rsid w:val="00114B0E"/>
    <w:rsid w:val="00120708"/>
    <w:rsid w:val="00121953"/>
    <w:rsid w:val="00134BCC"/>
    <w:rsid w:val="00135D6A"/>
    <w:rsid w:val="00141902"/>
    <w:rsid w:val="001517D4"/>
    <w:rsid w:val="00155F02"/>
    <w:rsid w:val="001631D2"/>
    <w:rsid w:val="00174C31"/>
    <w:rsid w:val="00186672"/>
    <w:rsid w:val="001918B7"/>
    <w:rsid w:val="001A616E"/>
    <w:rsid w:val="001B35F3"/>
    <w:rsid w:val="001F585E"/>
    <w:rsid w:val="001F78F1"/>
    <w:rsid w:val="0021064F"/>
    <w:rsid w:val="00230921"/>
    <w:rsid w:val="002373B0"/>
    <w:rsid w:val="002401B1"/>
    <w:rsid w:val="002555F0"/>
    <w:rsid w:val="002563A6"/>
    <w:rsid w:val="002751AB"/>
    <w:rsid w:val="00283562"/>
    <w:rsid w:val="00297909"/>
    <w:rsid w:val="002A1694"/>
    <w:rsid w:val="002A6B80"/>
    <w:rsid w:val="002A6EBA"/>
    <w:rsid w:val="002B232E"/>
    <w:rsid w:val="002B64C0"/>
    <w:rsid w:val="002B7C8F"/>
    <w:rsid w:val="002C2FAF"/>
    <w:rsid w:val="002C55A1"/>
    <w:rsid w:val="002D624A"/>
    <w:rsid w:val="003020F2"/>
    <w:rsid w:val="0030455F"/>
    <w:rsid w:val="003134DA"/>
    <w:rsid w:val="0031579C"/>
    <w:rsid w:val="00332E7E"/>
    <w:rsid w:val="00344625"/>
    <w:rsid w:val="00350B9C"/>
    <w:rsid w:val="0035232A"/>
    <w:rsid w:val="00357950"/>
    <w:rsid w:val="00374DB1"/>
    <w:rsid w:val="003775FD"/>
    <w:rsid w:val="00397061"/>
    <w:rsid w:val="003971DD"/>
    <w:rsid w:val="003A3A0A"/>
    <w:rsid w:val="003B151C"/>
    <w:rsid w:val="003B700E"/>
    <w:rsid w:val="003C0A92"/>
    <w:rsid w:val="003C0B5A"/>
    <w:rsid w:val="003C0EC6"/>
    <w:rsid w:val="003C2E6C"/>
    <w:rsid w:val="003C409F"/>
    <w:rsid w:val="003E7560"/>
    <w:rsid w:val="003F6E92"/>
    <w:rsid w:val="00400C66"/>
    <w:rsid w:val="00400C96"/>
    <w:rsid w:val="00401B31"/>
    <w:rsid w:val="00404BF1"/>
    <w:rsid w:val="00432FB1"/>
    <w:rsid w:val="0045749A"/>
    <w:rsid w:val="004676DD"/>
    <w:rsid w:val="0047489A"/>
    <w:rsid w:val="00484ECF"/>
    <w:rsid w:val="004A004D"/>
    <w:rsid w:val="004A0EDF"/>
    <w:rsid w:val="004A2B84"/>
    <w:rsid w:val="004C1E54"/>
    <w:rsid w:val="004E7654"/>
    <w:rsid w:val="004E7E2F"/>
    <w:rsid w:val="004F1E5C"/>
    <w:rsid w:val="004F5C98"/>
    <w:rsid w:val="00500EFC"/>
    <w:rsid w:val="00504BD8"/>
    <w:rsid w:val="00506987"/>
    <w:rsid w:val="005202C1"/>
    <w:rsid w:val="00524AC5"/>
    <w:rsid w:val="00532EB3"/>
    <w:rsid w:val="00536A24"/>
    <w:rsid w:val="005449C8"/>
    <w:rsid w:val="00550A69"/>
    <w:rsid w:val="005515FB"/>
    <w:rsid w:val="0056155C"/>
    <w:rsid w:val="005710B0"/>
    <w:rsid w:val="00591475"/>
    <w:rsid w:val="005A5144"/>
    <w:rsid w:val="005A7562"/>
    <w:rsid w:val="005B1B84"/>
    <w:rsid w:val="005B2A98"/>
    <w:rsid w:val="005B2DB9"/>
    <w:rsid w:val="005C2972"/>
    <w:rsid w:val="005E7F5F"/>
    <w:rsid w:val="00600CAE"/>
    <w:rsid w:val="006029C7"/>
    <w:rsid w:val="00612EB2"/>
    <w:rsid w:val="00617F7D"/>
    <w:rsid w:val="00623095"/>
    <w:rsid w:val="00637A86"/>
    <w:rsid w:val="00646079"/>
    <w:rsid w:val="00656585"/>
    <w:rsid w:val="00665FDA"/>
    <w:rsid w:val="00684DC2"/>
    <w:rsid w:val="006876D2"/>
    <w:rsid w:val="00690AD8"/>
    <w:rsid w:val="00693C6C"/>
    <w:rsid w:val="006964D5"/>
    <w:rsid w:val="006A332A"/>
    <w:rsid w:val="006B2405"/>
    <w:rsid w:val="006B30BB"/>
    <w:rsid w:val="006B3547"/>
    <w:rsid w:val="006D11C0"/>
    <w:rsid w:val="006D19C6"/>
    <w:rsid w:val="006D1F3F"/>
    <w:rsid w:val="007215D2"/>
    <w:rsid w:val="00724602"/>
    <w:rsid w:val="00736020"/>
    <w:rsid w:val="007517B8"/>
    <w:rsid w:val="00751EA7"/>
    <w:rsid w:val="007705BC"/>
    <w:rsid w:val="00775360"/>
    <w:rsid w:val="00777A48"/>
    <w:rsid w:val="00793A09"/>
    <w:rsid w:val="007C366B"/>
    <w:rsid w:val="007D2391"/>
    <w:rsid w:val="007E05B1"/>
    <w:rsid w:val="007E52F0"/>
    <w:rsid w:val="007E71EC"/>
    <w:rsid w:val="007F7384"/>
    <w:rsid w:val="007F788B"/>
    <w:rsid w:val="008016A0"/>
    <w:rsid w:val="008038B4"/>
    <w:rsid w:val="00803D49"/>
    <w:rsid w:val="00805553"/>
    <w:rsid w:val="00810CAB"/>
    <w:rsid w:val="00823597"/>
    <w:rsid w:val="00827CF6"/>
    <w:rsid w:val="0083042D"/>
    <w:rsid w:val="0083199A"/>
    <w:rsid w:val="008369BA"/>
    <w:rsid w:val="008405D8"/>
    <w:rsid w:val="00846716"/>
    <w:rsid w:val="00861DD8"/>
    <w:rsid w:val="0086334F"/>
    <w:rsid w:val="00863AB5"/>
    <w:rsid w:val="008675C0"/>
    <w:rsid w:val="008763F2"/>
    <w:rsid w:val="00890311"/>
    <w:rsid w:val="008B697C"/>
    <w:rsid w:val="008D577A"/>
    <w:rsid w:val="008D6E51"/>
    <w:rsid w:val="008E5BBF"/>
    <w:rsid w:val="008F3A63"/>
    <w:rsid w:val="008F5ECA"/>
    <w:rsid w:val="008F6894"/>
    <w:rsid w:val="00910661"/>
    <w:rsid w:val="009131E7"/>
    <w:rsid w:val="00930349"/>
    <w:rsid w:val="0093103D"/>
    <w:rsid w:val="00934FC4"/>
    <w:rsid w:val="00940DB9"/>
    <w:rsid w:val="009412E1"/>
    <w:rsid w:val="009521C9"/>
    <w:rsid w:val="009523A9"/>
    <w:rsid w:val="0096039A"/>
    <w:rsid w:val="00965A4C"/>
    <w:rsid w:val="009915B5"/>
    <w:rsid w:val="00993CD0"/>
    <w:rsid w:val="009959F5"/>
    <w:rsid w:val="009A2C33"/>
    <w:rsid w:val="009A38BD"/>
    <w:rsid w:val="009A630A"/>
    <w:rsid w:val="009B7A09"/>
    <w:rsid w:val="009C136E"/>
    <w:rsid w:val="009C2289"/>
    <w:rsid w:val="009C25E5"/>
    <w:rsid w:val="009D0891"/>
    <w:rsid w:val="009E2636"/>
    <w:rsid w:val="009E46B4"/>
    <w:rsid w:val="009E5C39"/>
    <w:rsid w:val="009E6C3F"/>
    <w:rsid w:val="00A007EC"/>
    <w:rsid w:val="00A063D7"/>
    <w:rsid w:val="00A06E1A"/>
    <w:rsid w:val="00A07CBC"/>
    <w:rsid w:val="00A2220C"/>
    <w:rsid w:val="00A3148C"/>
    <w:rsid w:val="00A36B5C"/>
    <w:rsid w:val="00A41049"/>
    <w:rsid w:val="00A43B4D"/>
    <w:rsid w:val="00A53427"/>
    <w:rsid w:val="00A70889"/>
    <w:rsid w:val="00A70E15"/>
    <w:rsid w:val="00A752F0"/>
    <w:rsid w:val="00AB05C0"/>
    <w:rsid w:val="00AB484C"/>
    <w:rsid w:val="00AC204F"/>
    <w:rsid w:val="00AC789B"/>
    <w:rsid w:val="00AD1015"/>
    <w:rsid w:val="00AD2C45"/>
    <w:rsid w:val="00AE1A54"/>
    <w:rsid w:val="00AE1E2E"/>
    <w:rsid w:val="00AE6B35"/>
    <w:rsid w:val="00AF315F"/>
    <w:rsid w:val="00AF3CDD"/>
    <w:rsid w:val="00AF6D06"/>
    <w:rsid w:val="00B12D3D"/>
    <w:rsid w:val="00B141BE"/>
    <w:rsid w:val="00B14F13"/>
    <w:rsid w:val="00B16F57"/>
    <w:rsid w:val="00B216BD"/>
    <w:rsid w:val="00B334E6"/>
    <w:rsid w:val="00B34C91"/>
    <w:rsid w:val="00B40CDC"/>
    <w:rsid w:val="00B519A8"/>
    <w:rsid w:val="00B52E7C"/>
    <w:rsid w:val="00B64AF9"/>
    <w:rsid w:val="00B66524"/>
    <w:rsid w:val="00B73CB5"/>
    <w:rsid w:val="00B82D3F"/>
    <w:rsid w:val="00B92FEC"/>
    <w:rsid w:val="00BB06A1"/>
    <w:rsid w:val="00BB2BBD"/>
    <w:rsid w:val="00BB408C"/>
    <w:rsid w:val="00BB48E6"/>
    <w:rsid w:val="00BC26E8"/>
    <w:rsid w:val="00BC2905"/>
    <w:rsid w:val="00BF09C1"/>
    <w:rsid w:val="00BF1072"/>
    <w:rsid w:val="00BF4409"/>
    <w:rsid w:val="00BF6365"/>
    <w:rsid w:val="00BF7136"/>
    <w:rsid w:val="00C00ED6"/>
    <w:rsid w:val="00C05C7F"/>
    <w:rsid w:val="00C05F96"/>
    <w:rsid w:val="00C100E5"/>
    <w:rsid w:val="00C1228A"/>
    <w:rsid w:val="00C20FD8"/>
    <w:rsid w:val="00C22029"/>
    <w:rsid w:val="00C42AC9"/>
    <w:rsid w:val="00C46467"/>
    <w:rsid w:val="00C52F18"/>
    <w:rsid w:val="00C6173E"/>
    <w:rsid w:val="00C70A4A"/>
    <w:rsid w:val="00C7456A"/>
    <w:rsid w:val="00C750AF"/>
    <w:rsid w:val="00C75AB6"/>
    <w:rsid w:val="00C955DA"/>
    <w:rsid w:val="00CA73FA"/>
    <w:rsid w:val="00CB25CD"/>
    <w:rsid w:val="00CB2F65"/>
    <w:rsid w:val="00CB634F"/>
    <w:rsid w:val="00CC135A"/>
    <w:rsid w:val="00CC55B1"/>
    <w:rsid w:val="00CE19FA"/>
    <w:rsid w:val="00CE489C"/>
    <w:rsid w:val="00CE702C"/>
    <w:rsid w:val="00D02285"/>
    <w:rsid w:val="00D072C2"/>
    <w:rsid w:val="00D17405"/>
    <w:rsid w:val="00D17F4C"/>
    <w:rsid w:val="00D33050"/>
    <w:rsid w:val="00D36205"/>
    <w:rsid w:val="00D41CC6"/>
    <w:rsid w:val="00D437D7"/>
    <w:rsid w:val="00D508D7"/>
    <w:rsid w:val="00D5358F"/>
    <w:rsid w:val="00D5665F"/>
    <w:rsid w:val="00D56FDF"/>
    <w:rsid w:val="00D622E0"/>
    <w:rsid w:val="00D624D9"/>
    <w:rsid w:val="00D63C40"/>
    <w:rsid w:val="00D67221"/>
    <w:rsid w:val="00D850DE"/>
    <w:rsid w:val="00D90FF4"/>
    <w:rsid w:val="00D92785"/>
    <w:rsid w:val="00D97A09"/>
    <w:rsid w:val="00DA38F8"/>
    <w:rsid w:val="00DB45AF"/>
    <w:rsid w:val="00DB71C0"/>
    <w:rsid w:val="00DD0D8B"/>
    <w:rsid w:val="00DD1BC9"/>
    <w:rsid w:val="00DD7D0F"/>
    <w:rsid w:val="00DD7DF3"/>
    <w:rsid w:val="00DE18CF"/>
    <w:rsid w:val="00DE5146"/>
    <w:rsid w:val="00DF3B42"/>
    <w:rsid w:val="00DF7AA0"/>
    <w:rsid w:val="00E02690"/>
    <w:rsid w:val="00E13408"/>
    <w:rsid w:val="00E13B6F"/>
    <w:rsid w:val="00E14FD2"/>
    <w:rsid w:val="00E22FC9"/>
    <w:rsid w:val="00E25E34"/>
    <w:rsid w:val="00E33F9B"/>
    <w:rsid w:val="00E34F3B"/>
    <w:rsid w:val="00E462AC"/>
    <w:rsid w:val="00E52526"/>
    <w:rsid w:val="00E6776E"/>
    <w:rsid w:val="00E721B9"/>
    <w:rsid w:val="00E85B3D"/>
    <w:rsid w:val="00E87053"/>
    <w:rsid w:val="00EB5EEC"/>
    <w:rsid w:val="00EC12EC"/>
    <w:rsid w:val="00EC3CB0"/>
    <w:rsid w:val="00ED04CE"/>
    <w:rsid w:val="00ED27B4"/>
    <w:rsid w:val="00EF2325"/>
    <w:rsid w:val="00EF6624"/>
    <w:rsid w:val="00EF6851"/>
    <w:rsid w:val="00F11242"/>
    <w:rsid w:val="00F228DC"/>
    <w:rsid w:val="00F24562"/>
    <w:rsid w:val="00F26E83"/>
    <w:rsid w:val="00F35DFA"/>
    <w:rsid w:val="00F46DB7"/>
    <w:rsid w:val="00F47712"/>
    <w:rsid w:val="00F630B3"/>
    <w:rsid w:val="00F64105"/>
    <w:rsid w:val="00F73DFD"/>
    <w:rsid w:val="00F8465E"/>
    <w:rsid w:val="00F86E9E"/>
    <w:rsid w:val="00F94C5C"/>
    <w:rsid w:val="00F94E20"/>
    <w:rsid w:val="00F96131"/>
    <w:rsid w:val="00FA3428"/>
    <w:rsid w:val="00FB6365"/>
    <w:rsid w:val="00FE6983"/>
    <w:rsid w:val="00FF470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3D91134"/>
  <w15:chartTrackingRefBased/>
  <w15:docId w15:val="{3F108020-51BF-4FFE-98B4-8875500341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F7AA0"/>
    <w:pPr>
      <w:spacing w:after="0" w:line="480" w:lineRule="auto"/>
    </w:pPr>
    <w:rPr>
      <w:rFonts w:ascii="Times New Roman" w:hAnsi="Times New Roman"/>
      <w:sz w:val="24"/>
    </w:rPr>
  </w:style>
  <w:style w:type="paragraph" w:styleId="Heading1">
    <w:name w:val="heading 1"/>
    <w:basedOn w:val="Normal"/>
    <w:next w:val="Normal"/>
    <w:link w:val="Heading1Char"/>
    <w:autoRedefine/>
    <w:uiPriority w:val="9"/>
    <w:qFormat/>
    <w:rsid w:val="00FE6983"/>
    <w:pPr>
      <w:keepNext/>
      <w:keepLines/>
      <w:jc w:val="center"/>
      <w:outlineLvl w:val="0"/>
    </w:pPr>
    <w:rPr>
      <w:rFonts w:eastAsiaTheme="majorEastAsia" w:cstheme="majorBidi"/>
      <w:b/>
      <w:color w:val="0E101A"/>
      <w:szCs w:val="32"/>
    </w:rPr>
  </w:style>
  <w:style w:type="paragraph" w:styleId="Heading2">
    <w:name w:val="heading 2"/>
    <w:basedOn w:val="Normal"/>
    <w:next w:val="Normal"/>
    <w:link w:val="Heading2Char"/>
    <w:autoRedefine/>
    <w:uiPriority w:val="9"/>
    <w:unhideWhenUsed/>
    <w:qFormat/>
    <w:rsid w:val="00F35DFA"/>
    <w:pPr>
      <w:keepNext/>
      <w:keepLines/>
      <w:jc w:val="center"/>
      <w:outlineLvl w:val="1"/>
    </w:pPr>
    <w:rPr>
      <w:rFonts w:eastAsiaTheme="majorEastAsia" w:cstheme="majorBidi"/>
      <w:bCs/>
      <w:color w:val="0E101A"/>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E6983"/>
    <w:rPr>
      <w:rFonts w:ascii="Times New Roman" w:eastAsiaTheme="majorEastAsia" w:hAnsi="Times New Roman" w:cstheme="majorBidi"/>
      <w:b/>
      <w:color w:val="0E101A"/>
      <w:sz w:val="24"/>
      <w:szCs w:val="32"/>
    </w:rPr>
  </w:style>
  <w:style w:type="character" w:customStyle="1" w:styleId="Heading2Char">
    <w:name w:val="Heading 2 Char"/>
    <w:basedOn w:val="DefaultParagraphFont"/>
    <w:link w:val="Heading2"/>
    <w:uiPriority w:val="9"/>
    <w:rsid w:val="00F35DFA"/>
    <w:rPr>
      <w:rFonts w:ascii="Times New Roman" w:eastAsiaTheme="majorEastAsia" w:hAnsi="Times New Roman" w:cstheme="majorBidi"/>
      <w:bCs/>
      <w:color w:val="0E101A"/>
      <w:sz w:val="24"/>
      <w:szCs w:val="26"/>
    </w:rPr>
  </w:style>
  <w:style w:type="paragraph" w:styleId="Header">
    <w:name w:val="header"/>
    <w:basedOn w:val="Normal"/>
    <w:link w:val="HeaderChar"/>
    <w:uiPriority w:val="99"/>
    <w:unhideWhenUsed/>
    <w:rsid w:val="00DF7AA0"/>
    <w:pPr>
      <w:tabs>
        <w:tab w:val="center" w:pos="4680"/>
        <w:tab w:val="right" w:pos="9360"/>
      </w:tabs>
      <w:spacing w:line="240" w:lineRule="auto"/>
    </w:pPr>
  </w:style>
  <w:style w:type="character" w:customStyle="1" w:styleId="HeaderChar">
    <w:name w:val="Header Char"/>
    <w:basedOn w:val="DefaultParagraphFont"/>
    <w:link w:val="Header"/>
    <w:uiPriority w:val="99"/>
    <w:rsid w:val="00DF7AA0"/>
    <w:rPr>
      <w:rFonts w:ascii="Times New Roman" w:hAnsi="Times New Roman"/>
      <w:sz w:val="24"/>
    </w:rPr>
  </w:style>
  <w:style w:type="paragraph" w:styleId="Footer">
    <w:name w:val="footer"/>
    <w:basedOn w:val="Normal"/>
    <w:link w:val="FooterChar"/>
    <w:uiPriority w:val="99"/>
    <w:unhideWhenUsed/>
    <w:rsid w:val="00DF7AA0"/>
    <w:pPr>
      <w:tabs>
        <w:tab w:val="center" w:pos="4680"/>
        <w:tab w:val="right" w:pos="9360"/>
      </w:tabs>
      <w:spacing w:line="240" w:lineRule="auto"/>
    </w:pPr>
  </w:style>
  <w:style w:type="character" w:customStyle="1" w:styleId="FooterChar">
    <w:name w:val="Footer Char"/>
    <w:basedOn w:val="DefaultParagraphFont"/>
    <w:link w:val="Footer"/>
    <w:uiPriority w:val="99"/>
    <w:rsid w:val="00DF7AA0"/>
    <w:rPr>
      <w:rFonts w:ascii="Times New Roman" w:hAnsi="Times New Roman"/>
      <w:sz w:val="24"/>
    </w:rPr>
  </w:style>
  <w:style w:type="paragraph" w:styleId="FootnoteText">
    <w:name w:val="footnote text"/>
    <w:basedOn w:val="Normal"/>
    <w:link w:val="FootnoteTextChar"/>
    <w:uiPriority w:val="99"/>
    <w:unhideWhenUsed/>
    <w:rsid w:val="00DF7AA0"/>
    <w:pPr>
      <w:spacing w:after="120" w:line="240" w:lineRule="auto"/>
      <w:ind w:firstLine="720"/>
    </w:pPr>
    <w:rPr>
      <w:sz w:val="20"/>
      <w:szCs w:val="20"/>
    </w:rPr>
  </w:style>
  <w:style w:type="character" w:customStyle="1" w:styleId="FootnoteTextChar">
    <w:name w:val="Footnote Text Char"/>
    <w:basedOn w:val="DefaultParagraphFont"/>
    <w:link w:val="FootnoteText"/>
    <w:uiPriority w:val="99"/>
    <w:qFormat/>
    <w:rsid w:val="00DF7AA0"/>
    <w:rPr>
      <w:rFonts w:ascii="Times New Roman" w:hAnsi="Times New Roman"/>
      <w:sz w:val="20"/>
      <w:szCs w:val="20"/>
    </w:rPr>
  </w:style>
  <w:style w:type="character" w:styleId="FootnoteReference">
    <w:name w:val="footnote reference"/>
    <w:uiPriority w:val="99"/>
    <w:unhideWhenUsed/>
    <w:rsid w:val="00DF7AA0"/>
    <w:rPr>
      <w:rFonts w:ascii="Times New Roman" w:hAnsi="Times New Roman"/>
      <w:b w:val="0"/>
      <w:i w:val="0"/>
      <w:caps w:val="0"/>
      <w:smallCaps w:val="0"/>
      <w:strike w:val="0"/>
      <w:dstrike w:val="0"/>
      <w:vanish w:val="0"/>
      <w:sz w:val="20"/>
      <w:vertAlign w:val="superscript"/>
    </w:rPr>
  </w:style>
  <w:style w:type="character" w:styleId="Hyperlink">
    <w:name w:val="Hyperlink"/>
    <w:basedOn w:val="DefaultParagraphFont"/>
    <w:uiPriority w:val="99"/>
    <w:unhideWhenUsed/>
    <w:rsid w:val="00DF7AA0"/>
    <w:rPr>
      <w:color w:val="0563C1" w:themeColor="hyperlink"/>
      <w:u w:val="single"/>
    </w:rPr>
  </w:style>
  <w:style w:type="paragraph" w:styleId="NormalWeb">
    <w:name w:val="Normal (Web)"/>
    <w:basedOn w:val="Normal"/>
    <w:uiPriority w:val="99"/>
    <w:unhideWhenUsed/>
    <w:rsid w:val="00DF7AA0"/>
    <w:pPr>
      <w:spacing w:before="100" w:beforeAutospacing="1" w:after="100" w:afterAutospacing="1" w:line="240" w:lineRule="auto"/>
    </w:pPr>
    <w:rPr>
      <w:rFonts w:eastAsia="Times New Roman" w:cs="Times New Roman"/>
      <w:szCs w:val="24"/>
    </w:rPr>
  </w:style>
  <w:style w:type="character" w:styleId="Emphasis">
    <w:name w:val="Emphasis"/>
    <w:basedOn w:val="DefaultParagraphFont"/>
    <w:uiPriority w:val="20"/>
    <w:qFormat/>
    <w:rsid w:val="00DF7AA0"/>
    <w:rPr>
      <w:i/>
      <w:iCs/>
    </w:rPr>
  </w:style>
  <w:style w:type="paragraph" w:styleId="BodyText">
    <w:name w:val="Body Text"/>
    <w:basedOn w:val="Normal"/>
    <w:link w:val="BodyTextChar"/>
    <w:uiPriority w:val="1"/>
    <w:qFormat/>
    <w:rsid w:val="00DF7AA0"/>
    <w:pPr>
      <w:widowControl w:val="0"/>
      <w:spacing w:line="240" w:lineRule="auto"/>
      <w:ind w:left="100"/>
    </w:pPr>
    <w:rPr>
      <w:rFonts w:eastAsia="Times New Roman"/>
      <w:szCs w:val="24"/>
    </w:rPr>
  </w:style>
  <w:style w:type="character" w:customStyle="1" w:styleId="BodyTextChar">
    <w:name w:val="Body Text Char"/>
    <w:basedOn w:val="DefaultParagraphFont"/>
    <w:link w:val="BodyText"/>
    <w:uiPriority w:val="1"/>
    <w:rsid w:val="00DF7AA0"/>
    <w:rPr>
      <w:rFonts w:ascii="Times New Roman" w:eastAsia="Times New Roman" w:hAnsi="Times New Roman"/>
      <w:sz w:val="24"/>
      <w:szCs w:val="24"/>
    </w:rPr>
  </w:style>
  <w:style w:type="paragraph" w:styleId="TOC1">
    <w:name w:val="toc 1"/>
    <w:basedOn w:val="Normal"/>
    <w:uiPriority w:val="39"/>
    <w:qFormat/>
    <w:rsid w:val="00DF7AA0"/>
    <w:pPr>
      <w:widowControl w:val="0"/>
      <w:spacing w:before="281" w:line="240" w:lineRule="auto"/>
      <w:ind w:left="100"/>
    </w:pPr>
    <w:rPr>
      <w:rFonts w:ascii="Century Gothic" w:eastAsia="Century Gothic" w:hAnsi="Century Gothic"/>
      <w:szCs w:val="24"/>
    </w:rPr>
  </w:style>
  <w:style w:type="paragraph" w:styleId="TOC2">
    <w:name w:val="toc 2"/>
    <w:basedOn w:val="Normal"/>
    <w:next w:val="Normal"/>
    <w:autoRedefine/>
    <w:uiPriority w:val="39"/>
    <w:unhideWhenUsed/>
    <w:rsid w:val="00DF7AA0"/>
    <w:pPr>
      <w:tabs>
        <w:tab w:val="right" w:leader="dot" w:pos="9350"/>
      </w:tabs>
      <w:ind w:left="240" w:firstLine="480"/>
    </w:pPr>
  </w:style>
  <w:style w:type="paragraph" w:styleId="NoSpacing">
    <w:name w:val="No Spacing"/>
    <w:uiPriority w:val="1"/>
    <w:qFormat/>
    <w:rsid w:val="00934FC4"/>
    <w:pPr>
      <w:spacing w:after="0" w:line="240" w:lineRule="auto"/>
    </w:pPr>
    <w:rPr>
      <w:rFonts w:ascii="Times New Roman" w:hAnsi="Times New Roman"/>
      <w:sz w:val="24"/>
    </w:rPr>
  </w:style>
  <w:style w:type="character" w:customStyle="1" w:styleId="text">
    <w:name w:val="text"/>
    <w:basedOn w:val="DefaultParagraphFont"/>
    <w:rsid w:val="00591475"/>
  </w:style>
  <w:style w:type="character" w:styleId="UnresolvedMention">
    <w:name w:val="Unresolved Mention"/>
    <w:basedOn w:val="DefaultParagraphFont"/>
    <w:uiPriority w:val="99"/>
    <w:semiHidden/>
    <w:unhideWhenUsed/>
    <w:rsid w:val="00BC290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5180943">
      <w:bodyDiv w:val="1"/>
      <w:marLeft w:val="0"/>
      <w:marRight w:val="0"/>
      <w:marTop w:val="0"/>
      <w:marBottom w:val="0"/>
      <w:divBdr>
        <w:top w:val="none" w:sz="0" w:space="0" w:color="auto"/>
        <w:left w:val="none" w:sz="0" w:space="0" w:color="auto"/>
        <w:bottom w:val="none" w:sz="0" w:space="0" w:color="auto"/>
        <w:right w:val="none" w:sz="0" w:space="0" w:color="auto"/>
      </w:divBdr>
    </w:div>
    <w:div w:id="163012573">
      <w:bodyDiv w:val="1"/>
      <w:marLeft w:val="0"/>
      <w:marRight w:val="0"/>
      <w:marTop w:val="0"/>
      <w:marBottom w:val="0"/>
      <w:divBdr>
        <w:top w:val="none" w:sz="0" w:space="0" w:color="auto"/>
        <w:left w:val="none" w:sz="0" w:space="0" w:color="auto"/>
        <w:bottom w:val="none" w:sz="0" w:space="0" w:color="auto"/>
        <w:right w:val="none" w:sz="0" w:space="0" w:color="auto"/>
      </w:divBdr>
    </w:div>
    <w:div w:id="294876661">
      <w:bodyDiv w:val="1"/>
      <w:marLeft w:val="0"/>
      <w:marRight w:val="0"/>
      <w:marTop w:val="0"/>
      <w:marBottom w:val="0"/>
      <w:divBdr>
        <w:top w:val="none" w:sz="0" w:space="0" w:color="auto"/>
        <w:left w:val="none" w:sz="0" w:space="0" w:color="auto"/>
        <w:bottom w:val="none" w:sz="0" w:space="0" w:color="auto"/>
        <w:right w:val="none" w:sz="0" w:space="0" w:color="auto"/>
      </w:divBdr>
    </w:div>
    <w:div w:id="310599249">
      <w:bodyDiv w:val="1"/>
      <w:marLeft w:val="0"/>
      <w:marRight w:val="0"/>
      <w:marTop w:val="0"/>
      <w:marBottom w:val="0"/>
      <w:divBdr>
        <w:top w:val="none" w:sz="0" w:space="0" w:color="auto"/>
        <w:left w:val="none" w:sz="0" w:space="0" w:color="auto"/>
        <w:bottom w:val="none" w:sz="0" w:space="0" w:color="auto"/>
        <w:right w:val="none" w:sz="0" w:space="0" w:color="auto"/>
      </w:divBdr>
      <w:divsChild>
        <w:div w:id="5063721">
          <w:marLeft w:val="0"/>
          <w:marRight w:val="0"/>
          <w:marTop w:val="0"/>
          <w:marBottom w:val="0"/>
          <w:divBdr>
            <w:top w:val="none" w:sz="0" w:space="0" w:color="auto"/>
            <w:left w:val="none" w:sz="0" w:space="0" w:color="auto"/>
            <w:bottom w:val="none" w:sz="0" w:space="0" w:color="auto"/>
            <w:right w:val="none" w:sz="0" w:space="0" w:color="auto"/>
          </w:divBdr>
        </w:div>
        <w:div w:id="2128888819">
          <w:marLeft w:val="0"/>
          <w:marRight w:val="0"/>
          <w:marTop w:val="0"/>
          <w:marBottom w:val="0"/>
          <w:divBdr>
            <w:top w:val="none" w:sz="0" w:space="0" w:color="auto"/>
            <w:left w:val="none" w:sz="0" w:space="0" w:color="auto"/>
            <w:bottom w:val="none" w:sz="0" w:space="0" w:color="auto"/>
            <w:right w:val="none" w:sz="0" w:space="0" w:color="auto"/>
          </w:divBdr>
        </w:div>
        <w:div w:id="1409035761">
          <w:marLeft w:val="0"/>
          <w:marRight w:val="0"/>
          <w:marTop w:val="0"/>
          <w:marBottom w:val="0"/>
          <w:divBdr>
            <w:top w:val="none" w:sz="0" w:space="0" w:color="auto"/>
            <w:left w:val="none" w:sz="0" w:space="0" w:color="auto"/>
            <w:bottom w:val="none" w:sz="0" w:space="0" w:color="auto"/>
            <w:right w:val="none" w:sz="0" w:space="0" w:color="auto"/>
          </w:divBdr>
        </w:div>
      </w:divsChild>
    </w:div>
    <w:div w:id="331495895">
      <w:bodyDiv w:val="1"/>
      <w:marLeft w:val="0"/>
      <w:marRight w:val="0"/>
      <w:marTop w:val="0"/>
      <w:marBottom w:val="0"/>
      <w:divBdr>
        <w:top w:val="none" w:sz="0" w:space="0" w:color="auto"/>
        <w:left w:val="none" w:sz="0" w:space="0" w:color="auto"/>
        <w:bottom w:val="none" w:sz="0" w:space="0" w:color="auto"/>
        <w:right w:val="none" w:sz="0" w:space="0" w:color="auto"/>
      </w:divBdr>
    </w:div>
    <w:div w:id="490025169">
      <w:bodyDiv w:val="1"/>
      <w:marLeft w:val="0"/>
      <w:marRight w:val="0"/>
      <w:marTop w:val="0"/>
      <w:marBottom w:val="0"/>
      <w:divBdr>
        <w:top w:val="none" w:sz="0" w:space="0" w:color="auto"/>
        <w:left w:val="none" w:sz="0" w:space="0" w:color="auto"/>
        <w:bottom w:val="none" w:sz="0" w:space="0" w:color="auto"/>
        <w:right w:val="none" w:sz="0" w:space="0" w:color="auto"/>
      </w:divBdr>
    </w:div>
    <w:div w:id="589855350">
      <w:bodyDiv w:val="1"/>
      <w:marLeft w:val="0"/>
      <w:marRight w:val="0"/>
      <w:marTop w:val="0"/>
      <w:marBottom w:val="0"/>
      <w:divBdr>
        <w:top w:val="none" w:sz="0" w:space="0" w:color="auto"/>
        <w:left w:val="none" w:sz="0" w:space="0" w:color="auto"/>
        <w:bottom w:val="none" w:sz="0" w:space="0" w:color="auto"/>
        <w:right w:val="none" w:sz="0" w:space="0" w:color="auto"/>
      </w:divBdr>
    </w:div>
    <w:div w:id="594363458">
      <w:bodyDiv w:val="1"/>
      <w:marLeft w:val="0"/>
      <w:marRight w:val="0"/>
      <w:marTop w:val="0"/>
      <w:marBottom w:val="0"/>
      <w:divBdr>
        <w:top w:val="none" w:sz="0" w:space="0" w:color="auto"/>
        <w:left w:val="none" w:sz="0" w:space="0" w:color="auto"/>
        <w:bottom w:val="none" w:sz="0" w:space="0" w:color="auto"/>
        <w:right w:val="none" w:sz="0" w:space="0" w:color="auto"/>
      </w:divBdr>
    </w:div>
    <w:div w:id="641008856">
      <w:bodyDiv w:val="1"/>
      <w:marLeft w:val="0"/>
      <w:marRight w:val="0"/>
      <w:marTop w:val="0"/>
      <w:marBottom w:val="0"/>
      <w:divBdr>
        <w:top w:val="none" w:sz="0" w:space="0" w:color="auto"/>
        <w:left w:val="none" w:sz="0" w:space="0" w:color="auto"/>
        <w:bottom w:val="none" w:sz="0" w:space="0" w:color="auto"/>
        <w:right w:val="none" w:sz="0" w:space="0" w:color="auto"/>
      </w:divBdr>
    </w:div>
    <w:div w:id="820661823">
      <w:bodyDiv w:val="1"/>
      <w:marLeft w:val="0"/>
      <w:marRight w:val="0"/>
      <w:marTop w:val="0"/>
      <w:marBottom w:val="0"/>
      <w:divBdr>
        <w:top w:val="none" w:sz="0" w:space="0" w:color="auto"/>
        <w:left w:val="none" w:sz="0" w:space="0" w:color="auto"/>
        <w:bottom w:val="none" w:sz="0" w:space="0" w:color="auto"/>
        <w:right w:val="none" w:sz="0" w:space="0" w:color="auto"/>
      </w:divBdr>
    </w:div>
    <w:div w:id="1006982773">
      <w:bodyDiv w:val="1"/>
      <w:marLeft w:val="0"/>
      <w:marRight w:val="0"/>
      <w:marTop w:val="0"/>
      <w:marBottom w:val="0"/>
      <w:divBdr>
        <w:top w:val="none" w:sz="0" w:space="0" w:color="auto"/>
        <w:left w:val="none" w:sz="0" w:space="0" w:color="auto"/>
        <w:bottom w:val="none" w:sz="0" w:space="0" w:color="auto"/>
        <w:right w:val="none" w:sz="0" w:space="0" w:color="auto"/>
      </w:divBdr>
      <w:divsChild>
        <w:div w:id="467629202">
          <w:marLeft w:val="0"/>
          <w:marRight w:val="0"/>
          <w:marTop w:val="0"/>
          <w:marBottom w:val="0"/>
          <w:divBdr>
            <w:top w:val="none" w:sz="0" w:space="0" w:color="auto"/>
            <w:left w:val="none" w:sz="0" w:space="0" w:color="auto"/>
            <w:bottom w:val="none" w:sz="0" w:space="0" w:color="auto"/>
            <w:right w:val="none" w:sz="0" w:space="0" w:color="auto"/>
          </w:divBdr>
        </w:div>
        <w:div w:id="773672736">
          <w:marLeft w:val="0"/>
          <w:marRight w:val="0"/>
          <w:marTop w:val="0"/>
          <w:marBottom w:val="0"/>
          <w:divBdr>
            <w:top w:val="none" w:sz="0" w:space="0" w:color="auto"/>
            <w:left w:val="none" w:sz="0" w:space="0" w:color="auto"/>
            <w:bottom w:val="none" w:sz="0" w:space="0" w:color="auto"/>
            <w:right w:val="none" w:sz="0" w:space="0" w:color="auto"/>
          </w:divBdr>
        </w:div>
        <w:div w:id="817502972">
          <w:marLeft w:val="0"/>
          <w:marRight w:val="0"/>
          <w:marTop w:val="0"/>
          <w:marBottom w:val="0"/>
          <w:divBdr>
            <w:top w:val="none" w:sz="0" w:space="0" w:color="auto"/>
            <w:left w:val="none" w:sz="0" w:space="0" w:color="auto"/>
            <w:bottom w:val="none" w:sz="0" w:space="0" w:color="auto"/>
            <w:right w:val="none" w:sz="0" w:space="0" w:color="auto"/>
          </w:divBdr>
        </w:div>
      </w:divsChild>
    </w:div>
    <w:div w:id="1070158175">
      <w:bodyDiv w:val="1"/>
      <w:marLeft w:val="0"/>
      <w:marRight w:val="0"/>
      <w:marTop w:val="0"/>
      <w:marBottom w:val="0"/>
      <w:divBdr>
        <w:top w:val="none" w:sz="0" w:space="0" w:color="auto"/>
        <w:left w:val="none" w:sz="0" w:space="0" w:color="auto"/>
        <w:bottom w:val="none" w:sz="0" w:space="0" w:color="auto"/>
        <w:right w:val="none" w:sz="0" w:space="0" w:color="auto"/>
      </w:divBdr>
    </w:div>
    <w:div w:id="1139498525">
      <w:bodyDiv w:val="1"/>
      <w:marLeft w:val="0"/>
      <w:marRight w:val="0"/>
      <w:marTop w:val="0"/>
      <w:marBottom w:val="0"/>
      <w:divBdr>
        <w:top w:val="none" w:sz="0" w:space="0" w:color="auto"/>
        <w:left w:val="none" w:sz="0" w:space="0" w:color="auto"/>
        <w:bottom w:val="none" w:sz="0" w:space="0" w:color="auto"/>
        <w:right w:val="none" w:sz="0" w:space="0" w:color="auto"/>
      </w:divBdr>
    </w:div>
    <w:div w:id="1144851063">
      <w:bodyDiv w:val="1"/>
      <w:marLeft w:val="0"/>
      <w:marRight w:val="0"/>
      <w:marTop w:val="0"/>
      <w:marBottom w:val="0"/>
      <w:divBdr>
        <w:top w:val="none" w:sz="0" w:space="0" w:color="auto"/>
        <w:left w:val="none" w:sz="0" w:space="0" w:color="auto"/>
        <w:bottom w:val="none" w:sz="0" w:space="0" w:color="auto"/>
        <w:right w:val="none" w:sz="0" w:space="0" w:color="auto"/>
      </w:divBdr>
    </w:div>
    <w:div w:id="1248543007">
      <w:bodyDiv w:val="1"/>
      <w:marLeft w:val="0"/>
      <w:marRight w:val="0"/>
      <w:marTop w:val="0"/>
      <w:marBottom w:val="0"/>
      <w:divBdr>
        <w:top w:val="none" w:sz="0" w:space="0" w:color="auto"/>
        <w:left w:val="none" w:sz="0" w:space="0" w:color="auto"/>
        <w:bottom w:val="none" w:sz="0" w:space="0" w:color="auto"/>
        <w:right w:val="none" w:sz="0" w:space="0" w:color="auto"/>
      </w:divBdr>
    </w:div>
    <w:div w:id="1254585925">
      <w:bodyDiv w:val="1"/>
      <w:marLeft w:val="0"/>
      <w:marRight w:val="0"/>
      <w:marTop w:val="0"/>
      <w:marBottom w:val="0"/>
      <w:divBdr>
        <w:top w:val="none" w:sz="0" w:space="0" w:color="auto"/>
        <w:left w:val="none" w:sz="0" w:space="0" w:color="auto"/>
        <w:bottom w:val="none" w:sz="0" w:space="0" w:color="auto"/>
        <w:right w:val="none" w:sz="0" w:space="0" w:color="auto"/>
      </w:divBdr>
    </w:div>
    <w:div w:id="1781610373">
      <w:bodyDiv w:val="1"/>
      <w:marLeft w:val="0"/>
      <w:marRight w:val="0"/>
      <w:marTop w:val="0"/>
      <w:marBottom w:val="0"/>
      <w:divBdr>
        <w:top w:val="none" w:sz="0" w:space="0" w:color="auto"/>
        <w:left w:val="none" w:sz="0" w:space="0" w:color="auto"/>
        <w:bottom w:val="none" w:sz="0" w:space="0" w:color="auto"/>
        <w:right w:val="none" w:sz="0" w:space="0" w:color="auto"/>
      </w:divBdr>
    </w:div>
    <w:div w:id="1852640055">
      <w:bodyDiv w:val="1"/>
      <w:marLeft w:val="0"/>
      <w:marRight w:val="0"/>
      <w:marTop w:val="0"/>
      <w:marBottom w:val="0"/>
      <w:divBdr>
        <w:top w:val="none" w:sz="0" w:space="0" w:color="auto"/>
        <w:left w:val="none" w:sz="0" w:space="0" w:color="auto"/>
        <w:bottom w:val="none" w:sz="0" w:space="0" w:color="auto"/>
        <w:right w:val="none" w:sz="0" w:space="0" w:color="auto"/>
      </w:divBdr>
    </w:div>
    <w:div w:id="1884518634">
      <w:bodyDiv w:val="1"/>
      <w:marLeft w:val="0"/>
      <w:marRight w:val="0"/>
      <w:marTop w:val="0"/>
      <w:marBottom w:val="0"/>
      <w:divBdr>
        <w:top w:val="none" w:sz="0" w:space="0" w:color="auto"/>
        <w:left w:val="none" w:sz="0" w:space="0" w:color="auto"/>
        <w:bottom w:val="none" w:sz="0" w:space="0" w:color="auto"/>
        <w:right w:val="none" w:sz="0" w:space="0" w:color="auto"/>
      </w:divBdr>
    </w:div>
    <w:div w:id="20594342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footer" Target="footer4.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0"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Version="16"/>
</file>

<file path=customXml/itemProps1.xml><?xml version="1.0" encoding="utf-8"?>
<ds:datastoreItem xmlns:ds="http://schemas.openxmlformats.org/officeDocument/2006/customXml" ds:itemID="{2BF6D929-EDD1-4383-ACA1-07673A8D62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3005</TotalTime>
  <Pages>10</Pages>
  <Words>1837</Words>
  <Characters>10475</Characters>
  <Application>Microsoft Office Word</Application>
  <DocSecurity>0</DocSecurity>
  <Lines>87</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12288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Kingsley Nyakagwa</dc:creator>
  <cp:keywords/>
  <dc:description/>
  <cp:lastModifiedBy>Kingsley Nyakagwa</cp:lastModifiedBy>
  <cp:revision>7</cp:revision>
  <dcterms:created xsi:type="dcterms:W3CDTF">2021-08-05T20:22:00Z</dcterms:created>
  <dcterms:modified xsi:type="dcterms:W3CDTF">2021-08-08T13:21:00Z</dcterms:modified>
</cp:coreProperties>
</file>