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3F7CAE" w:rsidRDefault="00DF7AA0" w:rsidP="00DF7AA0">
      <w:pPr>
        <w:rPr>
          <w:rFonts w:cs="Times New Roman"/>
          <w:szCs w:val="24"/>
        </w:rPr>
      </w:pPr>
    </w:p>
    <w:p w14:paraId="25B3138F" w14:textId="77777777" w:rsidR="00DF7AA0" w:rsidRPr="003F7CAE" w:rsidRDefault="00DF7AA0" w:rsidP="00DF7AA0">
      <w:pPr>
        <w:rPr>
          <w:rFonts w:cs="Times New Roman"/>
          <w:szCs w:val="24"/>
        </w:rPr>
      </w:pPr>
    </w:p>
    <w:p w14:paraId="62022353" w14:textId="77777777" w:rsidR="00DF7AA0" w:rsidRPr="003F7CAE" w:rsidRDefault="00DF7AA0" w:rsidP="00DF7AA0">
      <w:pPr>
        <w:jc w:val="center"/>
        <w:rPr>
          <w:rFonts w:cs="Times New Roman"/>
          <w:szCs w:val="24"/>
        </w:rPr>
      </w:pPr>
    </w:p>
    <w:p w14:paraId="4EC10BDB" w14:textId="77777777" w:rsidR="000C2FB6" w:rsidRPr="003F7CAE" w:rsidRDefault="000C2FB6" w:rsidP="000C2FB6">
      <w:pPr>
        <w:jc w:val="center"/>
        <w:rPr>
          <w:rFonts w:cs="Times New Roman"/>
          <w:szCs w:val="24"/>
        </w:rPr>
      </w:pPr>
      <w:bookmarkStart w:id="0" w:name="_Toc58310283"/>
      <w:bookmarkStart w:id="1" w:name="_Toc56985422"/>
      <w:bookmarkStart w:id="2" w:name="_Toc56981547"/>
      <w:bookmarkStart w:id="3" w:name="_Toc56981059"/>
      <w:bookmarkStart w:id="4" w:name="_Toc56631515"/>
      <w:bookmarkStart w:id="5" w:name="_Toc55367818"/>
      <w:bookmarkStart w:id="6" w:name="_Toc56175211"/>
      <w:bookmarkStart w:id="7" w:name="_Toc64731567"/>
      <w:bookmarkStart w:id="8" w:name="_Toc65892060"/>
      <w:r w:rsidRPr="003F7CAE">
        <w:rPr>
          <w:rFonts w:cs="Times New Roman"/>
          <w:szCs w:val="24"/>
        </w:rPr>
        <w:t>LIBERTY UNIVERSITY</w:t>
      </w:r>
    </w:p>
    <w:p w14:paraId="5EF0BF4D" w14:textId="77777777" w:rsidR="000C2FB6" w:rsidRPr="003F7CAE" w:rsidRDefault="000C2FB6" w:rsidP="000C2FB6">
      <w:pPr>
        <w:jc w:val="center"/>
        <w:rPr>
          <w:rFonts w:cs="Times New Roman"/>
          <w:szCs w:val="24"/>
        </w:rPr>
      </w:pPr>
      <w:r w:rsidRPr="003F7CAE">
        <w:rPr>
          <w:rFonts w:cs="Times New Roman"/>
          <w:szCs w:val="24"/>
        </w:rPr>
        <w:t xml:space="preserve">JOHN W. RAWLINGS SCHOOL OF DIVINITY </w:t>
      </w:r>
    </w:p>
    <w:p w14:paraId="54E7D8A5" w14:textId="77777777" w:rsidR="000C2FB6" w:rsidRPr="003F7CAE" w:rsidRDefault="000C2FB6" w:rsidP="000C2FB6">
      <w:pPr>
        <w:jc w:val="center"/>
        <w:rPr>
          <w:rFonts w:cs="Times New Roman"/>
          <w:szCs w:val="24"/>
        </w:rPr>
      </w:pPr>
    </w:p>
    <w:p w14:paraId="5D6F0C74" w14:textId="77777777" w:rsidR="000C2FB6" w:rsidRPr="003F7CAE" w:rsidRDefault="000C2FB6" w:rsidP="000C2FB6">
      <w:pPr>
        <w:rPr>
          <w:rFonts w:cs="Times New Roman"/>
          <w:szCs w:val="24"/>
        </w:rPr>
      </w:pPr>
    </w:p>
    <w:p w14:paraId="47F87442" w14:textId="671FE177" w:rsidR="00B216BD" w:rsidRPr="003F7CAE" w:rsidRDefault="00F347DF" w:rsidP="004F1E5C">
      <w:pPr>
        <w:jc w:val="center"/>
        <w:rPr>
          <w:rFonts w:cs="Times New Roman"/>
          <w:szCs w:val="24"/>
        </w:rPr>
      </w:pPr>
      <w:r w:rsidRPr="003F7CAE">
        <w:rPr>
          <w:rFonts w:cs="Times New Roman"/>
          <w:b/>
          <w:bCs/>
          <w:szCs w:val="24"/>
        </w:rPr>
        <w:t>Christian Theology of Religion</w:t>
      </w:r>
      <w:r w:rsidR="004F1E5C" w:rsidRPr="003F7CAE">
        <w:rPr>
          <w:rFonts w:cs="Times New Roman"/>
          <w:b/>
          <w:bCs/>
          <w:szCs w:val="24"/>
        </w:rPr>
        <w:t xml:space="preserve"> Assignment</w:t>
      </w:r>
    </w:p>
    <w:p w14:paraId="1380B3F7" w14:textId="4B84C33A" w:rsidR="00B216BD" w:rsidRPr="003F7CAE" w:rsidRDefault="00B216BD" w:rsidP="000C2FB6">
      <w:pPr>
        <w:rPr>
          <w:rFonts w:cs="Times New Roman"/>
          <w:szCs w:val="24"/>
        </w:rPr>
      </w:pPr>
    </w:p>
    <w:p w14:paraId="3F426043" w14:textId="77777777" w:rsidR="00B216BD" w:rsidRPr="003F7CAE" w:rsidRDefault="00B216BD" w:rsidP="000C2FB6">
      <w:pPr>
        <w:rPr>
          <w:rFonts w:cs="Times New Roman"/>
          <w:szCs w:val="24"/>
        </w:rPr>
      </w:pPr>
    </w:p>
    <w:p w14:paraId="1E138855" w14:textId="795F6344" w:rsidR="000C2FB6" w:rsidRPr="003F7CAE" w:rsidRDefault="000C2FB6" w:rsidP="000C2FB6">
      <w:pPr>
        <w:jc w:val="center"/>
        <w:rPr>
          <w:rFonts w:cs="Times New Roman"/>
          <w:szCs w:val="24"/>
        </w:rPr>
      </w:pPr>
      <w:r w:rsidRPr="003F7CAE">
        <w:rPr>
          <w:rFonts w:cs="Times New Roman"/>
          <w:szCs w:val="24"/>
        </w:rPr>
        <w:t xml:space="preserve">Submitted to Dr </w:t>
      </w:r>
      <w:r w:rsidR="004F1E5C" w:rsidRPr="003F7CAE">
        <w:rPr>
          <w:rFonts w:cs="Times New Roman"/>
          <w:szCs w:val="24"/>
        </w:rPr>
        <w:t>David Campbell</w:t>
      </w:r>
    </w:p>
    <w:p w14:paraId="6E61F74C" w14:textId="77777777" w:rsidR="000C2FB6" w:rsidRPr="003F7CAE" w:rsidRDefault="000C2FB6" w:rsidP="000C2FB6">
      <w:pPr>
        <w:jc w:val="center"/>
        <w:rPr>
          <w:rFonts w:cs="Times New Roman"/>
          <w:szCs w:val="24"/>
        </w:rPr>
      </w:pPr>
      <w:r w:rsidRPr="003F7CAE">
        <w:rPr>
          <w:rFonts w:cs="Times New Roman"/>
          <w:szCs w:val="24"/>
        </w:rPr>
        <w:t xml:space="preserve">in partial fulfillment of the requirements for the completion of </w:t>
      </w:r>
    </w:p>
    <w:p w14:paraId="3F591752" w14:textId="77777777" w:rsidR="000C2FB6" w:rsidRPr="003F7CAE" w:rsidRDefault="000C2FB6" w:rsidP="000C2FB6">
      <w:pPr>
        <w:jc w:val="center"/>
        <w:rPr>
          <w:rFonts w:cs="Times New Roman"/>
          <w:szCs w:val="24"/>
        </w:rPr>
      </w:pPr>
    </w:p>
    <w:p w14:paraId="57E0703E" w14:textId="77777777" w:rsidR="000C2FB6" w:rsidRPr="003F7CAE" w:rsidRDefault="000C2FB6" w:rsidP="000C2FB6">
      <w:pPr>
        <w:jc w:val="center"/>
        <w:rPr>
          <w:rFonts w:cs="Times New Roman"/>
          <w:szCs w:val="24"/>
        </w:rPr>
      </w:pPr>
    </w:p>
    <w:p w14:paraId="583ED0FD" w14:textId="6B4B9BB5" w:rsidR="000C2FB6" w:rsidRPr="003F7CAE" w:rsidRDefault="004F1E5C" w:rsidP="000C2FB6">
      <w:pPr>
        <w:jc w:val="center"/>
        <w:rPr>
          <w:rFonts w:cs="Times New Roman"/>
          <w:szCs w:val="24"/>
        </w:rPr>
      </w:pPr>
      <w:r w:rsidRPr="003F7CAE">
        <w:rPr>
          <w:rFonts w:cs="Times New Roman"/>
          <w:szCs w:val="24"/>
        </w:rPr>
        <w:t>APOL</w:t>
      </w:r>
      <w:r w:rsidR="000C2FB6" w:rsidRPr="003F7CAE">
        <w:rPr>
          <w:rFonts w:cs="Times New Roman"/>
          <w:szCs w:val="24"/>
        </w:rPr>
        <w:t xml:space="preserve"> 525- </w:t>
      </w:r>
      <w:r w:rsidRPr="003F7CAE">
        <w:rPr>
          <w:rFonts w:cs="Times New Roman"/>
          <w:szCs w:val="24"/>
        </w:rPr>
        <w:t>D</w:t>
      </w:r>
      <w:r w:rsidR="000C2FB6" w:rsidRPr="003F7CAE">
        <w:rPr>
          <w:rFonts w:cs="Times New Roman"/>
          <w:szCs w:val="24"/>
        </w:rPr>
        <w:t>0</w:t>
      </w:r>
      <w:r w:rsidRPr="003F7CAE">
        <w:rPr>
          <w:rFonts w:cs="Times New Roman"/>
          <w:szCs w:val="24"/>
        </w:rPr>
        <w:t>1</w:t>
      </w:r>
    </w:p>
    <w:p w14:paraId="7CE46B46" w14:textId="7CB51F1E" w:rsidR="000C2FB6" w:rsidRPr="003F7CAE" w:rsidRDefault="004F1E5C" w:rsidP="000C2FB6">
      <w:pPr>
        <w:jc w:val="center"/>
        <w:rPr>
          <w:rFonts w:cs="Times New Roman"/>
          <w:szCs w:val="24"/>
        </w:rPr>
      </w:pPr>
      <w:r w:rsidRPr="003F7CAE">
        <w:rPr>
          <w:rFonts w:cs="Times New Roman"/>
          <w:szCs w:val="24"/>
        </w:rPr>
        <w:t>Pluralism and World Religions</w:t>
      </w:r>
    </w:p>
    <w:p w14:paraId="61F455D0" w14:textId="77777777" w:rsidR="000C2FB6" w:rsidRPr="003F7CAE" w:rsidRDefault="000C2FB6" w:rsidP="000C2FB6">
      <w:pPr>
        <w:jc w:val="center"/>
        <w:rPr>
          <w:rFonts w:cs="Times New Roman"/>
          <w:szCs w:val="24"/>
        </w:rPr>
      </w:pPr>
    </w:p>
    <w:p w14:paraId="758CF04A" w14:textId="77777777" w:rsidR="000C2FB6" w:rsidRPr="003F7CAE" w:rsidRDefault="000C2FB6" w:rsidP="000C2FB6">
      <w:pPr>
        <w:jc w:val="center"/>
        <w:rPr>
          <w:rFonts w:cs="Times New Roman"/>
          <w:szCs w:val="24"/>
        </w:rPr>
      </w:pPr>
    </w:p>
    <w:p w14:paraId="3AEB3E05" w14:textId="77777777" w:rsidR="000C2FB6" w:rsidRPr="003F7CAE" w:rsidRDefault="000C2FB6" w:rsidP="000C2FB6">
      <w:pPr>
        <w:jc w:val="center"/>
        <w:rPr>
          <w:rFonts w:cs="Times New Roman"/>
          <w:szCs w:val="24"/>
        </w:rPr>
      </w:pPr>
      <w:r w:rsidRPr="003F7CAE">
        <w:rPr>
          <w:rFonts w:cs="Times New Roman"/>
          <w:szCs w:val="24"/>
        </w:rPr>
        <w:t>by</w:t>
      </w:r>
    </w:p>
    <w:p w14:paraId="6DB71876" w14:textId="77777777" w:rsidR="000C2FB6" w:rsidRPr="003F7CAE" w:rsidRDefault="000C2FB6" w:rsidP="000C2FB6">
      <w:pPr>
        <w:rPr>
          <w:rFonts w:cs="Times New Roman"/>
          <w:szCs w:val="24"/>
        </w:rPr>
      </w:pPr>
    </w:p>
    <w:p w14:paraId="642F3F8F" w14:textId="53C61E3A" w:rsidR="000C2FB6" w:rsidRPr="003F7CAE" w:rsidRDefault="000C2FB6" w:rsidP="00B216BD">
      <w:pPr>
        <w:jc w:val="center"/>
        <w:rPr>
          <w:rFonts w:cs="Times New Roman"/>
          <w:szCs w:val="24"/>
        </w:rPr>
      </w:pPr>
      <w:r w:rsidRPr="003F7CAE">
        <w:rPr>
          <w:rFonts w:cs="Times New Roman"/>
          <w:szCs w:val="24"/>
        </w:rPr>
        <w:t>Kingsley O. Nyakagwa</w:t>
      </w:r>
    </w:p>
    <w:p w14:paraId="38EBBA6D" w14:textId="14E3AB28" w:rsidR="000C2FB6" w:rsidRPr="003F7CAE" w:rsidRDefault="00CB634F" w:rsidP="000C2FB6">
      <w:pPr>
        <w:jc w:val="center"/>
        <w:rPr>
          <w:rFonts w:cs="Times New Roman"/>
          <w:szCs w:val="24"/>
        </w:rPr>
      </w:pPr>
      <w:bookmarkStart w:id="9" w:name="__RefHeading___Toc523_3372919366"/>
      <w:bookmarkStart w:id="10" w:name="__RefHeading___Toc305_3372919366"/>
      <w:bookmarkEnd w:id="9"/>
      <w:bookmarkEnd w:id="10"/>
      <w:r w:rsidRPr="003F7CAE">
        <w:rPr>
          <w:rFonts w:cs="Times New Roman"/>
          <w:szCs w:val="24"/>
        </w:rPr>
        <w:t xml:space="preserve">August </w:t>
      </w:r>
      <w:r w:rsidR="00F347DF" w:rsidRPr="003F7CAE">
        <w:rPr>
          <w:rFonts w:cs="Times New Roman"/>
          <w:szCs w:val="24"/>
        </w:rPr>
        <w:t>15</w:t>
      </w:r>
      <w:r w:rsidR="000C2FB6" w:rsidRPr="003F7CAE">
        <w:rPr>
          <w:rFonts w:cs="Times New Roman"/>
          <w:szCs w:val="24"/>
        </w:rPr>
        <w:t>, 2021</w:t>
      </w:r>
    </w:p>
    <w:bookmarkStart w:id="11" w:name="_Toc78769849" w:displacedByCustomXml="next"/>
    <w:bookmarkStart w:id="12" w:name="_Toc78763632" w:displacedByCustomXml="next"/>
    <w:bookmarkStart w:id="13" w:name="_Toc76732062" w:displacedByCustomXml="next"/>
    <w:bookmarkStart w:id="14" w:name="_Toc76513000" w:displacedByCustomXml="next"/>
    <w:bookmarkStart w:id="15" w:name="_Toc73326369" w:displacedByCustomXml="next"/>
    <w:bookmarkStart w:id="16" w:name="_Toc77544925" w:displacedByCustomXml="next"/>
    <w:bookmarkStart w:id="17" w:name="_Toc77552300" w:displacedByCustomXml="next"/>
    <w:bookmarkStart w:id="18" w:name="_Toc80064663" w:displacedByCustomXml="next"/>
    <w:bookmarkStart w:id="19" w:name="_Toc80073240" w:displacedByCustomXml="next"/>
    <w:bookmarkStart w:id="20" w:name="_Toc80073299" w:displacedByCustomXml="next"/>
    <w:sdt>
      <w:sdtPr>
        <w:rPr>
          <w:rFonts w:eastAsiaTheme="minorHAnsi" w:cs="Times New Roman"/>
          <w:b w:val="0"/>
          <w:color w:val="auto"/>
          <w:szCs w:val="24"/>
        </w:rPr>
        <w:id w:val="-2119129730"/>
        <w:docPartObj>
          <w:docPartGallery w:val="Table of Contents"/>
          <w:docPartUnique/>
        </w:docPartObj>
      </w:sdtPr>
      <w:sdtEndPr>
        <w:rPr>
          <w:bCs/>
          <w:noProof/>
        </w:rPr>
      </w:sdtEndPr>
      <w:sdtContent>
        <w:p w14:paraId="3D0F181E" w14:textId="77777777" w:rsidR="00FE1AB8" w:rsidRDefault="00DF7AA0" w:rsidP="00FE1AB8">
          <w:pPr>
            <w:pStyle w:val="Heading1"/>
            <w:spacing w:after="240" w:line="240" w:lineRule="auto"/>
            <w:rPr>
              <w:noProof/>
            </w:rPr>
          </w:pPr>
          <w:r w:rsidRPr="003F7CAE">
            <w:rPr>
              <w:rFonts w:cs="Times New Roman"/>
              <w:color w:val="auto"/>
              <w:szCs w:val="24"/>
            </w:rPr>
            <w:t>Contents</w:t>
          </w:r>
          <w:bookmarkEnd w:id="0"/>
          <w:bookmarkEnd w:id="1"/>
          <w:bookmarkEnd w:id="2"/>
          <w:bookmarkEnd w:id="3"/>
          <w:bookmarkEnd w:id="4"/>
          <w:bookmarkEnd w:id="5"/>
          <w:bookmarkEnd w:id="6"/>
          <w:bookmarkEnd w:id="7"/>
          <w:bookmarkEnd w:id="8"/>
          <w:bookmarkEnd w:id="20"/>
          <w:bookmarkEnd w:id="19"/>
          <w:bookmarkEnd w:id="18"/>
          <w:bookmarkEnd w:id="17"/>
          <w:bookmarkEnd w:id="16"/>
          <w:bookmarkEnd w:id="15"/>
          <w:bookmarkEnd w:id="14"/>
          <w:bookmarkEnd w:id="13"/>
          <w:bookmarkEnd w:id="12"/>
          <w:bookmarkEnd w:id="11"/>
          <w:r w:rsidRPr="00FE1AB8">
            <w:rPr>
              <w:rFonts w:eastAsia="Century Gothic" w:cs="Times New Roman"/>
              <w:color w:val="auto"/>
              <w:szCs w:val="24"/>
            </w:rPr>
            <w:fldChar w:fldCharType="begin"/>
          </w:r>
          <w:r w:rsidRPr="00FE1AB8">
            <w:rPr>
              <w:rFonts w:cs="Times New Roman"/>
              <w:color w:val="auto"/>
              <w:szCs w:val="24"/>
            </w:rPr>
            <w:instrText xml:space="preserve"> TOC \o "1-3" \h \z \u </w:instrText>
          </w:r>
          <w:r w:rsidRPr="00FE1AB8">
            <w:rPr>
              <w:rFonts w:eastAsia="Century Gothic" w:cs="Times New Roman"/>
              <w:color w:val="auto"/>
              <w:szCs w:val="24"/>
            </w:rPr>
            <w:fldChar w:fldCharType="separate"/>
          </w:r>
        </w:p>
        <w:p w14:paraId="0282240A" w14:textId="7911EB46" w:rsidR="00FE1AB8" w:rsidRPr="00FE1AB8" w:rsidRDefault="000A2C52" w:rsidP="00FE1AB8">
          <w:pPr>
            <w:pStyle w:val="TOC1"/>
            <w:tabs>
              <w:tab w:val="right" w:leader="dot" w:pos="9350"/>
            </w:tabs>
            <w:jc w:val="both"/>
            <w:rPr>
              <w:rFonts w:ascii="Times New Roman" w:eastAsiaTheme="minorEastAsia" w:hAnsi="Times New Roman" w:cs="Times New Roman"/>
              <w:b/>
              <w:bCs/>
              <w:noProof/>
              <w:sz w:val="22"/>
              <w:szCs w:val="22"/>
            </w:rPr>
          </w:pPr>
          <w:hyperlink w:anchor="_Toc80073300" w:history="1">
            <w:r w:rsidR="00FE1AB8" w:rsidRPr="00FE1AB8">
              <w:rPr>
                <w:rStyle w:val="Hyperlink"/>
                <w:rFonts w:ascii="Times New Roman" w:hAnsi="Times New Roman" w:cs="Times New Roman"/>
                <w:b/>
                <w:bCs/>
                <w:noProof/>
              </w:rPr>
              <w:t>Introduction</w:t>
            </w:r>
            <w:r w:rsidR="00FE1AB8" w:rsidRPr="00FE1AB8">
              <w:rPr>
                <w:rFonts w:ascii="Times New Roman" w:hAnsi="Times New Roman" w:cs="Times New Roman"/>
                <w:b/>
                <w:bCs/>
                <w:noProof/>
                <w:webHidden/>
              </w:rPr>
              <w:tab/>
            </w:r>
            <w:r w:rsidR="00FE1AB8" w:rsidRPr="00FE1AB8">
              <w:rPr>
                <w:rFonts w:ascii="Times New Roman" w:hAnsi="Times New Roman" w:cs="Times New Roman"/>
                <w:b/>
                <w:bCs/>
                <w:noProof/>
                <w:webHidden/>
              </w:rPr>
              <w:fldChar w:fldCharType="begin"/>
            </w:r>
            <w:r w:rsidR="00FE1AB8" w:rsidRPr="00FE1AB8">
              <w:rPr>
                <w:rFonts w:ascii="Times New Roman" w:hAnsi="Times New Roman" w:cs="Times New Roman"/>
                <w:b/>
                <w:bCs/>
                <w:noProof/>
                <w:webHidden/>
              </w:rPr>
              <w:instrText xml:space="preserve"> PAGEREF _Toc80073300 \h </w:instrText>
            </w:r>
            <w:r w:rsidR="00FE1AB8" w:rsidRPr="00FE1AB8">
              <w:rPr>
                <w:rFonts w:ascii="Times New Roman" w:hAnsi="Times New Roman" w:cs="Times New Roman"/>
                <w:b/>
                <w:bCs/>
                <w:noProof/>
                <w:webHidden/>
              </w:rPr>
            </w:r>
            <w:r w:rsidR="00FE1AB8" w:rsidRPr="00FE1AB8">
              <w:rPr>
                <w:rFonts w:ascii="Times New Roman" w:hAnsi="Times New Roman" w:cs="Times New Roman"/>
                <w:b/>
                <w:bCs/>
                <w:noProof/>
                <w:webHidden/>
              </w:rPr>
              <w:fldChar w:fldCharType="separate"/>
            </w:r>
            <w:r w:rsidR="00FE1AB8" w:rsidRPr="00FE1AB8">
              <w:rPr>
                <w:rFonts w:ascii="Times New Roman" w:hAnsi="Times New Roman" w:cs="Times New Roman"/>
                <w:b/>
                <w:bCs/>
                <w:noProof/>
                <w:webHidden/>
              </w:rPr>
              <w:t>1</w:t>
            </w:r>
            <w:r w:rsidR="00FE1AB8" w:rsidRPr="00FE1AB8">
              <w:rPr>
                <w:rFonts w:ascii="Times New Roman" w:hAnsi="Times New Roman" w:cs="Times New Roman"/>
                <w:b/>
                <w:bCs/>
                <w:noProof/>
                <w:webHidden/>
              </w:rPr>
              <w:fldChar w:fldCharType="end"/>
            </w:r>
          </w:hyperlink>
        </w:p>
        <w:p w14:paraId="55AD587E" w14:textId="6374AFFD" w:rsidR="00FE1AB8" w:rsidRPr="00FE1AB8" w:rsidRDefault="000A2C52" w:rsidP="00BF4EAC">
          <w:pPr>
            <w:pStyle w:val="TOC1"/>
            <w:tabs>
              <w:tab w:val="right" w:leader="dot" w:pos="9350"/>
            </w:tabs>
            <w:ind w:left="0"/>
            <w:jc w:val="both"/>
            <w:rPr>
              <w:rFonts w:ascii="Times New Roman" w:eastAsiaTheme="minorEastAsia" w:hAnsi="Times New Roman" w:cs="Times New Roman"/>
              <w:b/>
              <w:bCs/>
              <w:noProof/>
              <w:sz w:val="22"/>
              <w:szCs w:val="22"/>
            </w:rPr>
          </w:pPr>
          <w:hyperlink w:anchor="_Toc80073301" w:history="1">
            <w:r w:rsidR="00FE1AB8" w:rsidRPr="00FE1AB8">
              <w:rPr>
                <w:rStyle w:val="Hyperlink"/>
                <w:rFonts w:ascii="Times New Roman" w:hAnsi="Times New Roman" w:cs="Times New Roman"/>
                <w:b/>
                <w:bCs/>
                <w:noProof/>
              </w:rPr>
              <w:t>Basic Traits of African Traditional Religion</w:t>
            </w:r>
            <w:r w:rsidR="00FE1AB8" w:rsidRPr="00FE1AB8">
              <w:rPr>
                <w:rFonts w:ascii="Times New Roman" w:hAnsi="Times New Roman" w:cs="Times New Roman"/>
                <w:b/>
                <w:bCs/>
                <w:noProof/>
                <w:webHidden/>
              </w:rPr>
              <w:tab/>
            </w:r>
            <w:r w:rsidR="00FE1AB8" w:rsidRPr="00FE1AB8">
              <w:rPr>
                <w:rFonts w:ascii="Times New Roman" w:hAnsi="Times New Roman" w:cs="Times New Roman"/>
                <w:b/>
                <w:bCs/>
                <w:noProof/>
                <w:webHidden/>
              </w:rPr>
              <w:fldChar w:fldCharType="begin"/>
            </w:r>
            <w:r w:rsidR="00FE1AB8" w:rsidRPr="00FE1AB8">
              <w:rPr>
                <w:rFonts w:ascii="Times New Roman" w:hAnsi="Times New Roman" w:cs="Times New Roman"/>
                <w:b/>
                <w:bCs/>
                <w:noProof/>
                <w:webHidden/>
              </w:rPr>
              <w:instrText xml:space="preserve"> PAGEREF _Toc80073301 \h </w:instrText>
            </w:r>
            <w:r w:rsidR="00FE1AB8" w:rsidRPr="00FE1AB8">
              <w:rPr>
                <w:rFonts w:ascii="Times New Roman" w:hAnsi="Times New Roman" w:cs="Times New Roman"/>
                <w:b/>
                <w:bCs/>
                <w:noProof/>
                <w:webHidden/>
              </w:rPr>
            </w:r>
            <w:r w:rsidR="00FE1AB8" w:rsidRPr="00FE1AB8">
              <w:rPr>
                <w:rFonts w:ascii="Times New Roman" w:hAnsi="Times New Roman" w:cs="Times New Roman"/>
                <w:b/>
                <w:bCs/>
                <w:noProof/>
                <w:webHidden/>
              </w:rPr>
              <w:fldChar w:fldCharType="separate"/>
            </w:r>
            <w:r w:rsidR="00FE1AB8" w:rsidRPr="00FE1AB8">
              <w:rPr>
                <w:rFonts w:ascii="Times New Roman" w:hAnsi="Times New Roman" w:cs="Times New Roman"/>
                <w:b/>
                <w:bCs/>
                <w:noProof/>
                <w:webHidden/>
              </w:rPr>
              <w:t>2</w:t>
            </w:r>
            <w:r w:rsidR="00FE1AB8" w:rsidRPr="00FE1AB8">
              <w:rPr>
                <w:rFonts w:ascii="Times New Roman" w:hAnsi="Times New Roman" w:cs="Times New Roman"/>
                <w:b/>
                <w:bCs/>
                <w:noProof/>
                <w:webHidden/>
              </w:rPr>
              <w:fldChar w:fldCharType="end"/>
            </w:r>
          </w:hyperlink>
        </w:p>
        <w:p w14:paraId="7628B0D7" w14:textId="6C8759B7" w:rsidR="00FE1AB8" w:rsidRPr="00FE1AB8" w:rsidRDefault="000A2C52" w:rsidP="00BF4EAC">
          <w:pPr>
            <w:pStyle w:val="TOC2"/>
            <w:spacing w:before="281" w:line="240" w:lineRule="auto"/>
            <w:ind w:left="0" w:firstLine="0"/>
            <w:jc w:val="both"/>
            <w:rPr>
              <w:rFonts w:eastAsiaTheme="minorEastAsia" w:cs="Times New Roman"/>
              <w:noProof/>
              <w:sz w:val="22"/>
            </w:rPr>
          </w:pPr>
          <w:hyperlink w:anchor="_Toc80073302" w:history="1">
            <w:r w:rsidR="00FE1AB8" w:rsidRPr="00FE1AB8">
              <w:rPr>
                <w:rStyle w:val="Hyperlink"/>
                <w:rFonts w:cs="Times New Roman"/>
                <w:noProof/>
              </w:rPr>
              <w:t>Recognition of a High Spiritual Being</w:t>
            </w:r>
            <w:r w:rsidR="00FE1AB8" w:rsidRPr="00FE1AB8">
              <w:rPr>
                <w:rFonts w:cs="Times New Roman"/>
                <w:noProof/>
                <w:webHidden/>
              </w:rPr>
              <w:tab/>
            </w:r>
            <w:r w:rsidR="00FE1AB8" w:rsidRPr="00FE1AB8">
              <w:rPr>
                <w:rFonts w:cs="Times New Roman"/>
                <w:noProof/>
                <w:webHidden/>
              </w:rPr>
              <w:fldChar w:fldCharType="begin"/>
            </w:r>
            <w:r w:rsidR="00FE1AB8" w:rsidRPr="00FE1AB8">
              <w:rPr>
                <w:rFonts w:cs="Times New Roman"/>
                <w:noProof/>
                <w:webHidden/>
              </w:rPr>
              <w:instrText xml:space="preserve"> PAGEREF _Toc80073302 \h </w:instrText>
            </w:r>
            <w:r w:rsidR="00FE1AB8" w:rsidRPr="00FE1AB8">
              <w:rPr>
                <w:rFonts w:cs="Times New Roman"/>
                <w:noProof/>
                <w:webHidden/>
              </w:rPr>
            </w:r>
            <w:r w:rsidR="00FE1AB8" w:rsidRPr="00FE1AB8">
              <w:rPr>
                <w:rFonts w:cs="Times New Roman"/>
                <w:noProof/>
                <w:webHidden/>
              </w:rPr>
              <w:fldChar w:fldCharType="separate"/>
            </w:r>
            <w:r w:rsidR="00FE1AB8" w:rsidRPr="00FE1AB8">
              <w:rPr>
                <w:rFonts w:cs="Times New Roman"/>
                <w:noProof/>
                <w:webHidden/>
              </w:rPr>
              <w:t>3</w:t>
            </w:r>
            <w:r w:rsidR="00FE1AB8" w:rsidRPr="00FE1AB8">
              <w:rPr>
                <w:rFonts w:cs="Times New Roman"/>
                <w:noProof/>
                <w:webHidden/>
              </w:rPr>
              <w:fldChar w:fldCharType="end"/>
            </w:r>
          </w:hyperlink>
        </w:p>
        <w:p w14:paraId="12151B80" w14:textId="31646C63" w:rsidR="00FE1AB8" w:rsidRPr="00FE1AB8" w:rsidRDefault="000A2C52" w:rsidP="00FE1AB8">
          <w:pPr>
            <w:pStyle w:val="TOC3"/>
            <w:tabs>
              <w:tab w:val="right" w:leader="dot" w:pos="9350"/>
            </w:tabs>
            <w:spacing w:before="281" w:line="240" w:lineRule="auto"/>
            <w:jc w:val="both"/>
            <w:rPr>
              <w:rFonts w:eastAsiaTheme="minorEastAsia" w:cs="Times New Roman"/>
              <w:noProof/>
              <w:sz w:val="22"/>
            </w:rPr>
          </w:pPr>
          <w:hyperlink w:anchor="_Toc80073303" w:history="1">
            <w:r w:rsidR="00FE1AB8" w:rsidRPr="00FE1AB8">
              <w:rPr>
                <w:rStyle w:val="Hyperlink"/>
                <w:rFonts w:cs="Times New Roman"/>
                <w:noProof/>
              </w:rPr>
              <w:t>Supreme Being</w:t>
            </w:r>
            <w:r w:rsidR="00FE1AB8" w:rsidRPr="00FE1AB8">
              <w:rPr>
                <w:rFonts w:cs="Times New Roman"/>
                <w:noProof/>
                <w:webHidden/>
              </w:rPr>
              <w:tab/>
            </w:r>
            <w:r w:rsidR="00FE1AB8" w:rsidRPr="00FE1AB8">
              <w:rPr>
                <w:rFonts w:cs="Times New Roman"/>
                <w:noProof/>
                <w:webHidden/>
              </w:rPr>
              <w:fldChar w:fldCharType="begin"/>
            </w:r>
            <w:r w:rsidR="00FE1AB8" w:rsidRPr="00FE1AB8">
              <w:rPr>
                <w:rFonts w:cs="Times New Roman"/>
                <w:noProof/>
                <w:webHidden/>
              </w:rPr>
              <w:instrText xml:space="preserve"> PAGEREF _Toc80073303 \h </w:instrText>
            </w:r>
            <w:r w:rsidR="00FE1AB8" w:rsidRPr="00FE1AB8">
              <w:rPr>
                <w:rFonts w:cs="Times New Roman"/>
                <w:noProof/>
                <w:webHidden/>
              </w:rPr>
            </w:r>
            <w:r w:rsidR="00FE1AB8" w:rsidRPr="00FE1AB8">
              <w:rPr>
                <w:rFonts w:cs="Times New Roman"/>
                <w:noProof/>
                <w:webHidden/>
              </w:rPr>
              <w:fldChar w:fldCharType="separate"/>
            </w:r>
            <w:r w:rsidR="00FE1AB8" w:rsidRPr="00FE1AB8">
              <w:rPr>
                <w:rFonts w:cs="Times New Roman"/>
                <w:noProof/>
                <w:webHidden/>
              </w:rPr>
              <w:t>3</w:t>
            </w:r>
            <w:r w:rsidR="00FE1AB8" w:rsidRPr="00FE1AB8">
              <w:rPr>
                <w:rFonts w:cs="Times New Roman"/>
                <w:noProof/>
                <w:webHidden/>
              </w:rPr>
              <w:fldChar w:fldCharType="end"/>
            </w:r>
          </w:hyperlink>
        </w:p>
        <w:p w14:paraId="4ECCA67C" w14:textId="46CC00E7" w:rsidR="00FE1AB8" w:rsidRPr="00FE1AB8" w:rsidRDefault="000A2C52" w:rsidP="00FE1AB8">
          <w:pPr>
            <w:pStyle w:val="TOC3"/>
            <w:tabs>
              <w:tab w:val="right" w:leader="dot" w:pos="9350"/>
            </w:tabs>
            <w:spacing w:before="281" w:line="240" w:lineRule="auto"/>
            <w:jc w:val="both"/>
            <w:rPr>
              <w:rFonts w:eastAsiaTheme="minorEastAsia" w:cs="Times New Roman"/>
              <w:noProof/>
              <w:sz w:val="22"/>
            </w:rPr>
          </w:pPr>
          <w:hyperlink w:anchor="_Toc80073304" w:history="1">
            <w:r w:rsidR="00FE1AB8" w:rsidRPr="00FE1AB8">
              <w:rPr>
                <w:rStyle w:val="Hyperlink"/>
                <w:rFonts w:cs="Times New Roman"/>
                <w:noProof/>
              </w:rPr>
              <w:t>Ancestors</w:t>
            </w:r>
            <w:r w:rsidR="00FE1AB8" w:rsidRPr="00FE1AB8">
              <w:rPr>
                <w:rFonts w:cs="Times New Roman"/>
                <w:noProof/>
                <w:webHidden/>
              </w:rPr>
              <w:tab/>
            </w:r>
            <w:r w:rsidR="00FE1AB8" w:rsidRPr="00FE1AB8">
              <w:rPr>
                <w:rFonts w:cs="Times New Roman"/>
                <w:noProof/>
                <w:webHidden/>
              </w:rPr>
              <w:fldChar w:fldCharType="begin"/>
            </w:r>
            <w:r w:rsidR="00FE1AB8" w:rsidRPr="00FE1AB8">
              <w:rPr>
                <w:rFonts w:cs="Times New Roman"/>
                <w:noProof/>
                <w:webHidden/>
              </w:rPr>
              <w:instrText xml:space="preserve"> PAGEREF _Toc80073304 \h </w:instrText>
            </w:r>
            <w:r w:rsidR="00FE1AB8" w:rsidRPr="00FE1AB8">
              <w:rPr>
                <w:rFonts w:cs="Times New Roman"/>
                <w:noProof/>
                <w:webHidden/>
              </w:rPr>
            </w:r>
            <w:r w:rsidR="00FE1AB8" w:rsidRPr="00FE1AB8">
              <w:rPr>
                <w:rFonts w:cs="Times New Roman"/>
                <w:noProof/>
                <w:webHidden/>
              </w:rPr>
              <w:fldChar w:fldCharType="separate"/>
            </w:r>
            <w:r w:rsidR="00FE1AB8" w:rsidRPr="00FE1AB8">
              <w:rPr>
                <w:rFonts w:cs="Times New Roman"/>
                <w:noProof/>
                <w:webHidden/>
              </w:rPr>
              <w:t>5</w:t>
            </w:r>
            <w:r w:rsidR="00FE1AB8" w:rsidRPr="00FE1AB8">
              <w:rPr>
                <w:rFonts w:cs="Times New Roman"/>
                <w:noProof/>
                <w:webHidden/>
              </w:rPr>
              <w:fldChar w:fldCharType="end"/>
            </w:r>
          </w:hyperlink>
        </w:p>
        <w:p w14:paraId="1C1BCA9A" w14:textId="64950A64" w:rsidR="00FE1AB8" w:rsidRPr="00FE1AB8" w:rsidRDefault="000A2C52" w:rsidP="00FE1AB8">
          <w:pPr>
            <w:pStyle w:val="TOC3"/>
            <w:tabs>
              <w:tab w:val="right" w:leader="dot" w:pos="9350"/>
            </w:tabs>
            <w:spacing w:before="281" w:line="240" w:lineRule="auto"/>
            <w:jc w:val="both"/>
            <w:rPr>
              <w:rFonts w:eastAsiaTheme="minorEastAsia" w:cs="Times New Roman"/>
              <w:noProof/>
              <w:sz w:val="22"/>
            </w:rPr>
          </w:pPr>
          <w:hyperlink w:anchor="_Toc80073305" w:history="1">
            <w:r w:rsidR="00FE1AB8" w:rsidRPr="00FE1AB8">
              <w:rPr>
                <w:rStyle w:val="Hyperlink"/>
                <w:rFonts w:cs="Times New Roman"/>
                <w:noProof/>
              </w:rPr>
              <w:t>Nature Spirits</w:t>
            </w:r>
            <w:r w:rsidR="00FE1AB8" w:rsidRPr="00FE1AB8">
              <w:rPr>
                <w:rFonts w:cs="Times New Roman"/>
                <w:noProof/>
                <w:webHidden/>
              </w:rPr>
              <w:tab/>
            </w:r>
            <w:r w:rsidR="00FE1AB8" w:rsidRPr="00FE1AB8">
              <w:rPr>
                <w:rFonts w:cs="Times New Roman"/>
                <w:noProof/>
                <w:webHidden/>
              </w:rPr>
              <w:fldChar w:fldCharType="begin"/>
            </w:r>
            <w:r w:rsidR="00FE1AB8" w:rsidRPr="00FE1AB8">
              <w:rPr>
                <w:rFonts w:cs="Times New Roman"/>
                <w:noProof/>
                <w:webHidden/>
              </w:rPr>
              <w:instrText xml:space="preserve"> PAGEREF _Toc80073305 \h </w:instrText>
            </w:r>
            <w:r w:rsidR="00FE1AB8" w:rsidRPr="00FE1AB8">
              <w:rPr>
                <w:rFonts w:cs="Times New Roman"/>
                <w:noProof/>
                <w:webHidden/>
              </w:rPr>
            </w:r>
            <w:r w:rsidR="00FE1AB8" w:rsidRPr="00FE1AB8">
              <w:rPr>
                <w:rFonts w:cs="Times New Roman"/>
                <w:noProof/>
                <w:webHidden/>
              </w:rPr>
              <w:fldChar w:fldCharType="separate"/>
            </w:r>
            <w:r w:rsidR="00FE1AB8" w:rsidRPr="00FE1AB8">
              <w:rPr>
                <w:rFonts w:cs="Times New Roman"/>
                <w:noProof/>
                <w:webHidden/>
              </w:rPr>
              <w:t>6</w:t>
            </w:r>
            <w:r w:rsidR="00FE1AB8" w:rsidRPr="00FE1AB8">
              <w:rPr>
                <w:rFonts w:cs="Times New Roman"/>
                <w:noProof/>
                <w:webHidden/>
              </w:rPr>
              <w:fldChar w:fldCharType="end"/>
            </w:r>
          </w:hyperlink>
        </w:p>
        <w:p w14:paraId="71382A78" w14:textId="44E15E8D" w:rsidR="00FE1AB8" w:rsidRPr="00FE1AB8" w:rsidRDefault="000A2C52" w:rsidP="00BF4EAC">
          <w:pPr>
            <w:pStyle w:val="TOC2"/>
            <w:spacing w:before="281" w:line="240" w:lineRule="auto"/>
            <w:ind w:left="0" w:firstLine="0"/>
            <w:jc w:val="both"/>
            <w:rPr>
              <w:rFonts w:eastAsiaTheme="minorEastAsia" w:cs="Times New Roman"/>
              <w:noProof/>
              <w:sz w:val="22"/>
            </w:rPr>
          </w:pPr>
          <w:hyperlink w:anchor="_Toc80073306" w:history="1">
            <w:r w:rsidR="00FE1AB8" w:rsidRPr="00FE1AB8">
              <w:rPr>
                <w:rStyle w:val="Hyperlink"/>
                <w:rFonts w:cs="Times New Roman"/>
                <w:noProof/>
              </w:rPr>
              <w:t>Philosophy of life</w:t>
            </w:r>
            <w:r w:rsidR="00FE1AB8" w:rsidRPr="00FE1AB8">
              <w:rPr>
                <w:rFonts w:cs="Times New Roman"/>
                <w:noProof/>
                <w:webHidden/>
              </w:rPr>
              <w:tab/>
            </w:r>
            <w:r w:rsidR="00FE1AB8" w:rsidRPr="00FE1AB8">
              <w:rPr>
                <w:rFonts w:cs="Times New Roman"/>
                <w:noProof/>
                <w:webHidden/>
              </w:rPr>
              <w:fldChar w:fldCharType="begin"/>
            </w:r>
            <w:r w:rsidR="00FE1AB8" w:rsidRPr="00FE1AB8">
              <w:rPr>
                <w:rFonts w:cs="Times New Roman"/>
                <w:noProof/>
                <w:webHidden/>
              </w:rPr>
              <w:instrText xml:space="preserve"> PAGEREF _Toc80073306 \h </w:instrText>
            </w:r>
            <w:r w:rsidR="00FE1AB8" w:rsidRPr="00FE1AB8">
              <w:rPr>
                <w:rFonts w:cs="Times New Roman"/>
                <w:noProof/>
                <w:webHidden/>
              </w:rPr>
            </w:r>
            <w:r w:rsidR="00FE1AB8" w:rsidRPr="00FE1AB8">
              <w:rPr>
                <w:rFonts w:cs="Times New Roman"/>
                <w:noProof/>
                <w:webHidden/>
              </w:rPr>
              <w:fldChar w:fldCharType="separate"/>
            </w:r>
            <w:r w:rsidR="00FE1AB8" w:rsidRPr="00FE1AB8">
              <w:rPr>
                <w:rFonts w:cs="Times New Roman"/>
                <w:noProof/>
                <w:webHidden/>
              </w:rPr>
              <w:t>7</w:t>
            </w:r>
            <w:r w:rsidR="00FE1AB8" w:rsidRPr="00FE1AB8">
              <w:rPr>
                <w:rFonts w:cs="Times New Roman"/>
                <w:noProof/>
                <w:webHidden/>
              </w:rPr>
              <w:fldChar w:fldCharType="end"/>
            </w:r>
          </w:hyperlink>
        </w:p>
        <w:p w14:paraId="12C22419" w14:textId="694CC47D" w:rsidR="00FE1AB8" w:rsidRPr="00FE1AB8" w:rsidRDefault="000A2C52" w:rsidP="00BF4EAC">
          <w:pPr>
            <w:pStyle w:val="TOC2"/>
            <w:spacing w:before="281" w:line="240" w:lineRule="auto"/>
            <w:ind w:left="0" w:firstLine="0"/>
            <w:jc w:val="both"/>
            <w:rPr>
              <w:rFonts w:eastAsiaTheme="minorEastAsia" w:cs="Times New Roman"/>
              <w:noProof/>
              <w:sz w:val="22"/>
            </w:rPr>
          </w:pPr>
          <w:hyperlink w:anchor="_Toc80073307" w:history="1">
            <w:r w:rsidR="00FE1AB8" w:rsidRPr="00FE1AB8">
              <w:rPr>
                <w:rStyle w:val="Hyperlink"/>
                <w:rFonts w:cs="Times New Roman"/>
                <w:noProof/>
              </w:rPr>
              <w:t>Importance of Rites of Passage</w:t>
            </w:r>
            <w:r w:rsidR="00FE1AB8" w:rsidRPr="00FE1AB8">
              <w:rPr>
                <w:rFonts w:cs="Times New Roman"/>
                <w:noProof/>
                <w:webHidden/>
              </w:rPr>
              <w:tab/>
            </w:r>
            <w:r w:rsidR="00FE1AB8" w:rsidRPr="00FE1AB8">
              <w:rPr>
                <w:rFonts w:cs="Times New Roman"/>
                <w:noProof/>
                <w:webHidden/>
              </w:rPr>
              <w:fldChar w:fldCharType="begin"/>
            </w:r>
            <w:r w:rsidR="00FE1AB8" w:rsidRPr="00FE1AB8">
              <w:rPr>
                <w:rFonts w:cs="Times New Roman"/>
                <w:noProof/>
                <w:webHidden/>
              </w:rPr>
              <w:instrText xml:space="preserve"> PAGEREF _Toc80073307 \h </w:instrText>
            </w:r>
            <w:r w:rsidR="00FE1AB8" w:rsidRPr="00FE1AB8">
              <w:rPr>
                <w:rFonts w:cs="Times New Roman"/>
                <w:noProof/>
                <w:webHidden/>
              </w:rPr>
            </w:r>
            <w:r w:rsidR="00FE1AB8" w:rsidRPr="00FE1AB8">
              <w:rPr>
                <w:rFonts w:cs="Times New Roman"/>
                <w:noProof/>
                <w:webHidden/>
              </w:rPr>
              <w:fldChar w:fldCharType="separate"/>
            </w:r>
            <w:r w:rsidR="00FE1AB8" w:rsidRPr="00FE1AB8">
              <w:rPr>
                <w:rFonts w:cs="Times New Roman"/>
                <w:noProof/>
                <w:webHidden/>
              </w:rPr>
              <w:t>10</w:t>
            </w:r>
            <w:r w:rsidR="00FE1AB8" w:rsidRPr="00FE1AB8">
              <w:rPr>
                <w:rFonts w:cs="Times New Roman"/>
                <w:noProof/>
                <w:webHidden/>
              </w:rPr>
              <w:fldChar w:fldCharType="end"/>
            </w:r>
          </w:hyperlink>
        </w:p>
        <w:p w14:paraId="3CEF9924" w14:textId="24AAFC36" w:rsidR="00FE1AB8" w:rsidRPr="00FE1AB8" w:rsidRDefault="000A2C52" w:rsidP="00BF4EAC">
          <w:pPr>
            <w:pStyle w:val="TOC2"/>
            <w:spacing w:before="281" w:line="240" w:lineRule="auto"/>
            <w:ind w:left="0" w:firstLine="0"/>
            <w:jc w:val="both"/>
            <w:rPr>
              <w:rFonts w:eastAsiaTheme="minorEastAsia" w:cs="Times New Roman"/>
              <w:noProof/>
              <w:sz w:val="22"/>
            </w:rPr>
          </w:pPr>
          <w:hyperlink w:anchor="_Toc80073308" w:history="1">
            <w:r w:rsidR="00FE1AB8" w:rsidRPr="00FE1AB8">
              <w:rPr>
                <w:rStyle w:val="Hyperlink"/>
                <w:rFonts w:cs="Times New Roman"/>
                <w:noProof/>
              </w:rPr>
              <w:t>Rituals, Magic and Witchcraft</w:t>
            </w:r>
            <w:r w:rsidR="00FE1AB8" w:rsidRPr="00FE1AB8">
              <w:rPr>
                <w:rFonts w:cs="Times New Roman"/>
                <w:noProof/>
                <w:webHidden/>
              </w:rPr>
              <w:tab/>
            </w:r>
            <w:r w:rsidR="00FE1AB8" w:rsidRPr="00FE1AB8">
              <w:rPr>
                <w:rFonts w:cs="Times New Roman"/>
                <w:noProof/>
                <w:webHidden/>
              </w:rPr>
              <w:fldChar w:fldCharType="begin"/>
            </w:r>
            <w:r w:rsidR="00FE1AB8" w:rsidRPr="00FE1AB8">
              <w:rPr>
                <w:rFonts w:cs="Times New Roman"/>
                <w:noProof/>
                <w:webHidden/>
              </w:rPr>
              <w:instrText xml:space="preserve"> PAGEREF _Toc80073308 \h </w:instrText>
            </w:r>
            <w:r w:rsidR="00FE1AB8" w:rsidRPr="00FE1AB8">
              <w:rPr>
                <w:rFonts w:cs="Times New Roman"/>
                <w:noProof/>
                <w:webHidden/>
              </w:rPr>
            </w:r>
            <w:r w:rsidR="00FE1AB8" w:rsidRPr="00FE1AB8">
              <w:rPr>
                <w:rFonts w:cs="Times New Roman"/>
                <w:noProof/>
                <w:webHidden/>
              </w:rPr>
              <w:fldChar w:fldCharType="separate"/>
            </w:r>
            <w:r w:rsidR="00FE1AB8" w:rsidRPr="00FE1AB8">
              <w:rPr>
                <w:rFonts w:cs="Times New Roman"/>
                <w:noProof/>
                <w:webHidden/>
              </w:rPr>
              <w:t>11</w:t>
            </w:r>
            <w:r w:rsidR="00FE1AB8" w:rsidRPr="00FE1AB8">
              <w:rPr>
                <w:rFonts w:cs="Times New Roman"/>
                <w:noProof/>
                <w:webHidden/>
              </w:rPr>
              <w:fldChar w:fldCharType="end"/>
            </w:r>
          </w:hyperlink>
        </w:p>
        <w:p w14:paraId="4ED2CD8C" w14:textId="14F4D1B7" w:rsidR="00FE1AB8" w:rsidRPr="00FE1AB8" w:rsidRDefault="000A2C52" w:rsidP="00FE1AB8">
          <w:pPr>
            <w:pStyle w:val="TOC1"/>
            <w:tabs>
              <w:tab w:val="right" w:leader="dot" w:pos="9350"/>
            </w:tabs>
            <w:jc w:val="both"/>
            <w:rPr>
              <w:rFonts w:ascii="Times New Roman" w:eastAsiaTheme="minorEastAsia" w:hAnsi="Times New Roman" w:cs="Times New Roman"/>
              <w:b/>
              <w:bCs/>
              <w:noProof/>
              <w:sz w:val="22"/>
              <w:szCs w:val="22"/>
            </w:rPr>
          </w:pPr>
          <w:hyperlink w:anchor="_Toc80073309" w:history="1">
            <w:r w:rsidR="00FE1AB8" w:rsidRPr="00FE1AB8">
              <w:rPr>
                <w:rStyle w:val="Hyperlink"/>
                <w:rFonts w:ascii="Times New Roman" w:hAnsi="Times New Roman" w:cs="Times New Roman"/>
                <w:b/>
                <w:bCs/>
                <w:noProof/>
              </w:rPr>
              <w:t>The Uniqueness and Exclusivity of Christ and the Gospel</w:t>
            </w:r>
            <w:r w:rsidR="00FE1AB8" w:rsidRPr="00FE1AB8">
              <w:rPr>
                <w:rFonts w:ascii="Times New Roman" w:hAnsi="Times New Roman" w:cs="Times New Roman"/>
                <w:b/>
                <w:bCs/>
                <w:noProof/>
                <w:webHidden/>
              </w:rPr>
              <w:tab/>
            </w:r>
            <w:r w:rsidR="00FE1AB8" w:rsidRPr="00FE1AB8">
              <w:rPr>
                <w:rFonts w:ascii="Times New Roman" w:hAnsi="Times New Roman" w:cs="Times New Roman"/>
                <w:b/>
                <w:bCs/>
                <w:noProof/>
                <w:webHidden/>
              </w:rPr>
              <w:fldChar w:fldCharType="begin"/>
            </w:r>
            <w:r w:rsidR="00FE1AB8" w:rsidRPr="00FE1AB8">
              <w:rPr>
                <w:rFonts w:ascii="Times New Roman" w:hAnsi="Times New Roman" w:cs="Times New Roman"/>
                <w:b/>
                <w:bCs/>
                <w:noProof/>
                <w:webHidden/>
              </w:rPr>
              <w:instrText xml:space="preserve"> PAGEREF _Toc80073309 \h </w:instrText>
            </w:r>
            <w:r w:rsidR="00FE1AB8" w:rsidRPr="00FE1AB8">
              <w:rPr>
                <w:rFonts w:ascii="Times New Roman" w:hAnsi="Times New Roman" w:cs="Times New Roman"/>
                <w:b/>
                <w:bCs/>
                <w:noProof/>
                <w:webHidden/>
              </w:rPr>
            </w:r>
            <w:r w:rsidR="00FE1AB8" w:rsidRPr="00FE1AB8">
              <w:rPr>
                <w:rFonts w:ascii="Times New Roman" w:hAnsi="Times New Roman" w:cs="Times New Roman"/>
                <w:b/>
                <w:bCs/>
                <w:noProof/>
                <w:webHidden/>
              </w:rPr>
              <w:fldChar w:fldCharType="separate"/>
            </w:r>
            <w:r w:rsidR="00FE1AB8" w:rsidRPr="00FE1AB8">
              <w:rPr>
                <w:rFonts w:ascii="Times New Roman" w:hAnsi="Times New Roman" w:cs="Times New Roman"/>
                <w:b/>
                <w:bCs/>
                <w:noProof/>
                <w:webHidden/>
              </w:rPr>
              <w:t>12</w:t>
            </w:r>
            <w:r w:rsidR="00FE1AB8" w:rsidRPr="00FE1AB8">
              <w:rPr>
                <w:rFonts w:ascii="Times New Roman" w:hAnsi="Times New Roman" w:cs="Times New Roman"/>
                <w:b/>
                <w:bCs/>
                <w:noProof/>
                <w:webHidden/>
              </w:rPr>
              <w:fldChar w:fldCharType="end"/>
            </w:r>
          </w:hyperlink>
        </w:p>
        <w:p w14:paraId="08245B0A" w14:textId="03533E06" w:rsidR="00FE1AB8" w:rsidRPr="00FE1AB8" w:rsidRDefault="000A2C52" w:rsidP="00FE1AB8">
          <w:pPr>
            <w:pStyle w:val="TOC1"/>
            <w:tabs>
              <w:tab w:val="right" w:leader="dot" w:pos="9350"/>
            </w:tabs>
            <w:jc w:val="both"/>
            <w:rPr>
              <w:rFonts w:ascii="Times New Roman" w:eastAsiaTheme="minorEastAsia" w:hAnsi="Times New Roman" w:cs="Times New Roman"/>
              <w:b/>
              <w:bCs/>
              <w:noProof/>
              <w:sz w:val="22"/>
              <w:szCs w:val="22"/>
            </w:rPr>
          </w:pPr>
          <w:hyperlink w:anchor="_Toc80073310" w:history="1">
            <w:r w:rsidR="00FE1AB8" w:rsidRPr="00FE1AB8">
              <w:rPr>
                <w:rStyle w:val="Hyperlink"/>
                <w:rFonts w:ascii="Times New Roman" w:hAnsi="Times New Roman" w:cs="Times New Roman"/>
                <w:b/>
                <w:bCs/>
                <w:noProof/>
              </w:rPr>
              <w:t>Conclusion</w:t>
            </w:r>
            <w:r w:rsidR="00FE1AB8" w:rsidRPr="00FE1AB8">
              <w:rPr>
                <w:rFonts w:ascii="Times New Roman" w:hAnsi="Times New Roman" w:cs="Times New Roman"/>
                <w:b/>
                <w:bCs/>
                <w:noProof/>
                <w:webHidden/>
              </w:rPr>
              <w:tab/>
            </w:r>
            <w:r w:rsidR="00FE1AB8" w:rsidRPr="00FE1AB8">
              <w:rPr>
                <w:rFonts w:ascii="Times New Roman" w:hAnsi="Times New Roman" w:cs="Times New Roman"/>
                <w:b/>
                <w:bCs/>
                <w:noProof/>
                <w:webHidden/>
              </w:rPr>
              <w:fldChar w:fldCharType="begin"/>
            </w:r>
            <w:r w:rsidR="00FE1AB8" w:rsidRPr="00FE1AB8">
              <w:rPr>
                <w:rFonts w:ascii="Times New Roman" w:hAnsi="Times New Roman" w:cs="Times New Roman"/>
                <w:b/>
                <w:bCs/>
                <w:noProof/>
                <w:webHidden/>
              </w:rPr>
              <w:instrText xml:space="preserve"> PAGEREF _Toc80073310 \h </w:instrText>
            </w:r>
            <w:r w:rsidR="00FE1AB8" w:rsidRPr="00FE1AB8">
              <w:rPr>
                <w:rFonts w:ascii="Times New Roman" w:hAnsi="Times New Roman" w:cs="Times New Roman"/>
                <w:b/>
                <w:bCs/>
                <w:noProof/>
                <w:webHidden/>
              </w:rPr>
            </w:r>
            <w:r w:rsidR="00FE1AB8" w:rsidRPr="00FE1AB8">
              <w:rPr>
                <w:rFonts w:ascii="Times New Roman" w:hAnsi="Times New Roman" w:cs="Times New Roman"/>
                <w:b/>
                <w:bCs/>
                <w:noProof/>
                <w:webHidden/>
              </w:rPr>
              <w:fldChar w:fldCharType="separate"/>
            </w:r>
            <w:r w:rsidR="00FE1AB8" w:rsidRPr="00FE1AB8">
              <w:rPr>
                <w:rFonts w:ascii="Times New Roman" w:hAnsi="Times New Roman" w:cs="Times New Roman"/>
                <w:b/>
                <w:bCs/>
                <w:noProof/>
                <w:webHidden/>
              </w:rPr>
              <w:t>13</w:t>
            </w:r>
            <w:r w:rsidR="00FE1AB8" w:rsidRPr="00FE1AB8">
              <w:rPr>
                <w:rFonts w:ascii="Times New Roman" w:hAnsi="Times New Roman" w:cs="Times New Roman"/>
                <w:b/>
                <w:bCs/>
                <w:noProof/>
                <w:webHidden/>
              </w:rPr>
              <w:fldChar w:fldCharType="end"/>
            </w:r>
          </w:hyperlink>
        </w:p>
        <w:p w14:paraId="75C546AD" w14:textId="4C631903" w:rsidR="00FE1AB8" w:rsidRPr="00FE1AB8" w:rsidRDefault="000A2C52" w:rsidP="00FE1AB8">
          <w:pPr>
            <w:pStyle w:val="TOC1"/>
            <w:tabs>
              <w:tab w:val="right" w:leader="dot" w:pos="9350"/>
            </w:tabs>
            <w:jc w:val="both"/>
            <w:rPr>
              <w:rFonts w:asciiTheme="minorHAnsi" w:eastAsiaTheme="minorEastAsia" w:hAnsiTheme="minorHAnsi"/>
              <w:b/>
              <w:bCs/>
              <w:noProof/>
              <w:sz w:val="22"/>
              <w:szCs w:val="22"/>
            </w:rPr>
          </w:pPr>
          <w:hyperlink w:anchor="_Toc80073311" w:history="1">
            <w:r w:rsidR="00FE1AB8" w:rsidRPr="00FE1AB8">
              <w:rPr>
                <w:rStyle w:val="Hyperlink"/>
                <w:rFonts w:ascii="Times New Roman" w:hAnsi="Times New Roman" w:cs="Times New Roman"/>
                <w:b/>
                <w:bCs/>
                <w:noProof/>
              </w:rPr>
              <w:t>Bibliography</w:t>
            </w:r>
            <w:r w:rsidR="00FE1AB8" w:rsidRPr="00FE1AB8">
              <w:rPr>
                <w:rFonts w:ascii="Times New Roman" w:hAnsi="Times New Roman" w:cs="Times New Roman"/>
                <w:b/>
                <w:bCs/>
                <w:noProof/>
                <w:webHidden/>
              </w:rPr>
              <w:tab/>
            </w:r>
            <w:r w:rsidR="00FE1AB8" w:rsidRPr="00FE1AB8">
              <w:rPr>
                <w:rFonts w:ascii="Times New Roman" w:hAnsi="Times New Roman" w:cs="Times New Roman"/>
                <w:b/>
                <w:bCs/>
                <w:noProof/>
                <w:webHidden/>
              </w:rPr>
              <w:fldChar w:fldCharType="begin"/>
            </w:r>
            <w:r w:rsidR="00FE1AB8" w:rsidRPr="00FE1AB8">
              <w:rPr>
                <w:rFonts w:ascii="Times New Roman" w:hAnsi="Times New Roman" w:cs="Times New Roman"/>
                <w:b/>
                <w:bCs/>
                <w:noProof/>
                <w:webHidden/>
              </w:rPr>
              <w:instrText xml:space="preserve"> PAGEREF _Toc80073311 \h </w:instrText>
            </w:r>
            <w:r w:rsidR="00FE1AB8" w:rsidRPr="00FE1AB8">
              <w:rPr>
                <w:rFonts w:ascii="Times New Roman" w:hAnsi="Times New Roman" w:cs="Times New Roman"/>
                <w:b/>
                <w:bCs/>
                <w:noProof/>
                <w:webHidden/>
              </w:rPr>
            </w:r>
            <w:r w:rsidR="00FE1AB8" w:rsidRPr="00FE1AB8">
              <w:rPr>
                <w:rFonts w:ascii="Times New Roman" w:hAnsi="Times New Roman" w:cs="Times New Roman"/>
                <w:b/>
                <w:bCs/>
                <w:noProof/>
                <w:webHidden/>
              </w:rPr>
              <w:fldChar w:fldCharType="separate"/>
            </w:r>
            <w:r w:rsidR="00FE1AB8" w:rsidRPr="00FE1AB8">
              <w:rPr>
                <w:rFonts w:ascii="Times New Roman" w:hAnsi="Times New Roman" w:cs="Times New Roman"/>
                <w:b/>
                <w:bCs/>
                <w:noProof/>
                <w:webHidden/>
              </w:rPr>
              <w:t>15</w:t>
            </w:r>
            <w:r w:rsidR="00FE1AB8" w:rsidRPr="00FE1AB8">
              <w:rPr>
                <w:rFonts w:ascii="Times New Roman" w:hAnsi="Times New Roman" w:cs="Times New Roman"/>
                <w:b/>
                <w:bCs/>
                <w:noProof/>
                <w:webHidden/>
              </w:rPr>
              <w:fldChar w:fldCharType="end"/>
            </w:r>
          </w:hyperlink>
        </w:p>
        <w:p w14:paraId="478CDC97" w14:textId="77777777" w:rsidR="00DF7AA0" w:rsidRDefault="00DF7AA0" w:rsidP="00FE1AB8">
          <w:pPr>
            <w:spacing w:before="240" w:after="240" w:line="240" w:lineRule="auto"/>
            <w:rPr>
              <w:rFonts w:cs="Times New Roman"/>
              <w:b/>
              <w:bCs/>
              <w:noProof/>
              <w:szCs w:val="24"/>
            </w:rPr>
          </w:pPr>
          <w:r w:rsidRPr="00FE1AB8">
            <w:rPr>
              <w:rFonts w:cs="Times New Roman"/>
              <w:b/>
              <w:bCs/>
              <w:noProof/>
              <w:szCs w:val="24"/>
            </w:rPr>
            <w:fldChar w:fldCharType="end"/>
          </w:r>
        </w:p>
      </w:sdtContent>
    </w:sdt>
    <w:p w14:paraId="546036B9" w14:textId="77777777" w:rsidR="00BF4EAC" w:rsidRPr="00BF4EAC" w:rsidRDefault="00BF4EAC" w:rsidP="00BF4EAC">
      <w:pPr>
        <w:rPr>
          <w:rFonts w:cs="Times New Roman"/>
          <w:szCs w:val="24"/>
        </w:rPr>
      </w:pPr>
    </w:p>
    <w:p w14:paraId="1333E66F" w14:textId="77777777" w:rsidR="00BF4EAC" w:rsidRPr="00BF4EAC" w:rsidRDefault="00BF4EAC" w:rsidP="00BF4EAC">
      <w:pPr>
        <w:rPr>
          <w:rFonts w:cs="Times New Roman"/>
          <w:szCs w:val="24"/>
        </w:rPr>
      </w:pPr>
    </w:p>
    <w:p w14:paraId="51603A37" w14:textId="77777777" w:rsidR="00BF4EAC" w:rsidRPr="00BF4EAC" w:rsidRDefault="00BF4EAC" w:rsidP="00BF4EAC">
      <w:pPr>
        <w:rPr>
          <w:rFonts w:cs="Times New Roman"/>
          <w:szCs w:val="24"/>
        </w:rPr>
      </w:pPr>
    </w:p>
    <w:p w14:paraId="4C6223A3" w14:textId="77777777" w:rsidR="00BF4EAC" w:rsidRDefault="00BF4EAC" w:rsidP="00BF4EAC">
      <w:pPr>
        <w:rPr>
          <w:rFonts w:cs="Times New Roman"/>
          <w:b/>
          <w:bCs/>
          <w:noProof/>
          <w:szCs w:val="24"/>
        </w:rPr>
      </w:pPr>
    </w:p>
    <w:p w14:paraId="317E97CB" w14:textId="77777777" w:rsidR="00BF4EAC" w:rsidRDefault="00BF4EAC" w:rsidP="00BF4EAC">
      <w:pPr>
        <w:jc w:val="center"/>
        <w:rPr>
          <w:rFonts w:cs="Times New Roman"/>
          <w:b/>
          <w:bCs/>
          <w:noProof/>
          <w:szCs w:val="24"/>
        </w:rPr>
      </w:pPr>
    </w:p>
    <w:p w14:paraId="077F3532" w14:textId="0DD6662C" w:rsidR="00BF4EAC" w:rsidRPr="00BF4EAC" w:rsidRDefault="00BF4EAC" w:rsidP="00BF4EAC">
      <w:pPr>
        <w:tabs>
          <w:tab w:val="center" w:pos="4680"/>
        </w:tabs>
        <w:rPr>
          <w:rFonts w:cs="Times New Roman"/>
          <w:szCs w:val="24"/>
        </w:rPr>
        <w:sectPr w:rsidR="00BF4EAC" w:rsidRPr="00BF4EAC"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r>
        <w:rPr>
          <w:rFonts w:cs="Times New Roman"/>
          <w:szCs w:val="24"/>
        </w:rPr>
        <w:tab/>
      </w:r>
    </w:p>
    <w:p w14:paraId="480004F4" w14:textId="5C544620" w:rsidR="001F585E" w:rsidRPr="003F7CAE" w:rsidRDefault="000B1EDA" w:rsidP="00FE6983">
      <w:pPr>
        <w:pStyle w:val="Heading1"/>
        <w:rPr>
          <w:rFonts w:cs="Times New Roman"/>
          <w:color w:val="auto"/>
          <w:szCs w:val="24"/>
        </w:rPr>
      </w:pPr>
      <w:bookmarkStart w:id="21" w:name="_Toc80073241"/>
      <w:bookmarkStart w:id="22" w:name="_Toc80073300"/>
      <w:r w:rsidRPr="003F7CAE">
        <w:rPr>
          <w:rFonts w:cs="Times New Roman"/>
          <w:color w:val="auto"/>
          <w:szCs w:val="24"/>
        </w:rPr>
        <w:lastRenderedPageBreak/>
        <w:t>Introduction</w:t>
      </w:r>
      <w:bookmarkEnd w:id="21"/>
      <w:bookmarkEnd w:id="22"/>
    </w:p>
    <w:p w14:paraId="2813302A" w14:textId="5340AE33" w:rsidR="0046486E" w:rsidRPr="003F7CAE" w:rsidRDefault="00A57FB6" w:rsidP="00A57FB6">
      <w:pPr>
        <w:ind w:firstLine="720"/>
        <w:rPr>
          <w:rFonts w:cs="Times New Roman"/>
          <w:szCs w:val="24"/>
        </w:rPr>
      </w:pPr>
      <w:r w:rsidRPr="003F7CAE">
        <w:rPr>
          <w:rFonts w:cs="Times New Roman"/>
          <w:szCs w:val="24"/>
        </w:rPr>
        <w:t xml:space="preserve">At the turn of this year, Kenyan Christians were stunned by the news of a retired reverend renouncing his Christian faith for the African Tradition Religion.  Retired Reverend Kamau Wa Macharia, </w:t>
      </w:r>
      <w:r w:rsidR="00C07D4C" w:rsidRPr="003F7CAE">
        <w:rPr>
          <w:rFonts w:cs="Times New Roman"/>
          <w:szCs w:val="24"/>
        </w:rPr>
        <w:t>the</w:t>
      </w:r>
      <w:r w:rsidRPr="003F7CAE">
        <w:rPr>
          <w:rFonts w:cs="Times New Roman"/>
          <w:szCs w:val="24"/>
        </w:rPr>
        <w:t xml:space="preserve"> former Presbyterian Church of East Africa (PCEA) minister of thirty years</w:t>
      </w:r>
      <w:r w:rsidR="009D699F">
        <w:rPr>
          <w:rFonts w:cs="Times New Roman"/>
          <w:szCs w:val="24"/>
        </w:rPr>
        <w:t xml:space="preserve"> and author of</w:t>
      </w:r>
      <w:r w:rsidRPr="003F7CAE">
        <w:rPr>
          <w:rFonts w:cs="Times New Roman"/>
          <w:szCs w:val="24"/>
        </w:rPr>
        <w:t xml:space="preserve"> </w:t>
      </w:r>
      <w:r w:rsidRPr="003F7CAE">
        <w:rPr>
          <w:rFonts w:cs="Times New Roman"/>
          <w:i/>
          <w:iCs/>
          <w:szCs w:val="24"/>
        </w:rPr>
        <w:t>Elements of Godlessness in Christianity and Islam</w:t>
      </w:r>
      <w:r w:rsidR="00C07D4C" w:rsidRPr="003F7CAE">
        <w:rPr>
          <w:rFonts w:cs="Times New Roman"/>
          <w:szCs w:val="24"/>
        </w:rPr>
        <w:t xml:space="preserve">, </w:t>
      </w:r>
      <w:r w:rsidR="009D699F">
        <w:rPr>
          <w:rFonts w:cs="Times New Roman"/>
          <w:szCs w:val="24"/>
        </w:rPr>
        <w:t>asked a question</w:t>
      </w:r>
      <w:r w:rsidR="00C07D4C" w:rsidRPr="003F7CAE">
        <w:rPr>
          <w:rFonts w:cs="Times New Roman"/>
          <w:szCs w:val="24"/>
        </w:rPr>
        <w:t>: How could people who engaged in the slave trade for thousands of years targeting the black race claim that theirs were superior religions and their gods were the only ones who could redeem the lost soul?</w:t>
      </w:r>
      <w:r w:rsidR="00C07D4C" w:rsidRPr="003F7CAE">
        <w:rPr>
          <w:rStyle w:val="FootnoteReference"/>
          <w:rFonts w:cs="Times New Roman"/>
          <w:sz w:val="24"/>
          <w:szCs w:val="24"/>
        </w:rPr>
        <w:footnoteReference w:id="1"/>
      </w:r>
      <w:r w:rsidR="00C07D4C" w:rsidRPr="003F7CAE">
        <w:rPr>
          <w:rFonts w:cs="Times New Roman"/>
          <w:szCs w:val="24"/>
        </w:rPr>
        <w:t xml:space="preserve"> Rev. Macharia continued to claim that all along </w:t>
      </w:r>
      <w:r w:rsidR="00FC309B" w:rsidRPr="003F7CAE">
        <w:rPr>
          <w:rFonts w:cs="Times New Roman"/>
          <w:szCs w:val="24"/>
        </w:rPr>
        <w:t>Africans</w:t>
      </w:r>
      <w:r w:rsidR="00C07D4C" w:rsidRPr="003F7CAE">
        <w:rPr>
          <w:rFonts w:cs="Times New Roman"/>
          <w:szCs w:val="24"/>
        </w:rPr>
        <w:t xml:space="preserve"> have been taken for a ride by </w:t>
      </w:r>
      <w:r w:rsidR="00FC309B" w:rsidRPr="003F7CAE">
        <w:rPr>
          <w:rFonts w:cs="Times New Roman"/>
          <w:szCs w:val="24"/>
        </w:rPr>
        <w:t>following the white man’s religion.</w:t>
      </w:r>
    </w:p>
    <w:p w14:paraId="4DFB5476" w14:textId="75BCFA83" w:rsidR="00FC309B" w:rsidRPr="003F7CAE" w:rsidRDefault="00EA0609" w:rsidP="00A57FB6">
      <w:pPr>
        <w:ind w:firstLine="720"/>
        <w:rPr>
          <w:rFonts w:cs="Times New Roman"/>
          <w:szCs w:val="24"/>
        </w:rPr>
      </w:pPr>
      <w:r w:rsidRPr="003F7CAE">
        <w:rPr>
          <w:rFonts w:cs="Times New Roman"/>
          <w:szCs w:val="24"/>
        </w:rPr>
        <w:t xml:space="preserve">Just like Kamau Wa Macharia, </w:t>
      </w:r>
      <w:r w:rsidR="00DF15BA" w:rsidRPr="003F7CAE">
        <w:rPr>
          <w:rFonts w:cs="Times New Roman"/>
          <w:szCs w:val="24"/>
        </w:rPr>
        <w:t>many African</w:t>
      </w:r>
      <w:r w:rsidR="00C226D3" w:rsidRPr="003F7CAE">
        <w:rPr>
          <w:rFonts w:cs="Times New Roman"/>
          <w:szCs w:val="24"/>
        </w:rPr>
        <w:t xml:space="preserve"> Christians</w:t>
      </w:r>
      <w:r w:rsidR="00DF15BA" w:rsidRPr="003F7CAE">
        <w:rPr>
          <w:rFonts w:cs="Times New Roman"/>
          <w:szCs w:val="24"/>
        </w:rPr>
        <w:t xml:space="preserve"> </w:t>
      </w:r>
      <w:r w:rsidR="00FD24A8" w:rsidRPr="003F7CAE">
        <w:rPr>
          <w:rFonts w:cs="Times New Roman"/>
          <w:szCs w:val="24"/>
        </w:rPr>
        <w:t>today feel like they have woken up from a stupor. This is because for the longest time the proponents of the other religions have held a misconception that their traditional religions are somehow simplistic, primitive or childish.</w:t>
      </w:r>
      <w:r w:rsidR="00FD24A8" w:rsidRPr="003F7CAE">
        <w:rPr>
          <w:rStyle w:val="FootnoteReference"/>
          <w:rFonts w:cs="Times New Roman"/>
          <w:sz w:val="24"/>
          <w:szCs w:val="24"/>
        </w:rPr>
        <w:footnoteReference w:id="2"/>
      </w:r>
      <w:r w:rsidR="00FD24A8" w:rsidRPr="003F7CAE">
        <w:rPr>
          <w:rFonts w:cs="Times New Roman"/>
          <w:szCs w:val="24"/>
        </w:rPr>
        <w:t xml:space="preserve"> </w:t>
      </w:r>
      <w:r w:rsidR="00C226D3" w:rsidRPr="003F7CAE">
        <w:rPr>
          <w:rFonts w:cs="Times New Roman"/>
          <w:szCs w:val="24"/>
        </w:rPr>
        <w:t>The heightened</w:t>
      </w:r>
      <w:r w:rsidR="00DF15BA" w:rsidRPr="003F7CAE">
        <w:rPr>
          <w:rFonts w:cs="Times New Roman"/>
          <w:szCs w:val="24"/>
        </w:rPr>
        <w:t xml:space="preserve"> awareness of the past</w:t>
      </w:r>
      <w:r w:rsidR="00C226D3" w:rsidRPr="003F7CAE">
        <w:rPr>
          <w:rFonts w:cs="Times New Roman"/>
          <w:szCs w:val="24"/>
        </w:rPr>
        <w:t xml:space="preserve"> atrocious activities of the Christian colonialists and the current clamor for social justice have made things gruesomely difficult to navigate.</w:t>
      </w:r>
      <w:r w:rsidR="00DF15BA" w:rsidRPr="003F7CAE">
        <w:rPr>
          <w:rFonts w:cs="Times New Roman"/>
          <w:szCs w:val="24"/>
        </w:rPr>
        <w:t xml:space="preserve"> </w:t>
      </w:r>
      <w:r w:rsidR="005B6F5A" w:rsidRPr="003F7CAE">
        <w:rPr>
          <w:rFonts w:cs="Times New Roman"/>
          <w:szCs w:val="24"/>
        </w:rPr>
        <w:t>For some the struggle is in reconciling</w:t>
      </w:r>
      <w:r w:rsidRPr="003F7CAE">
        <w:rPr>
          <w:rFonts w:cs="Times New Roman"/>
          <w:szCs w:val="24"/>
        </w:rPr>
        <w:t xml:space="preserve"> the various past injustices meted the Africans by supposedly Christian Europeans</w:t>
      </w:r>
      <w:r w:rsidR="00C226D3" w:rsidRPr="003F7CAE">
        <w:rPr>
          <w:rFonts w:cs="Times New Roman"/>
          <w:szCs w:val="24"/>
        </w:rPr>
        <w:t xml:space="preserve"> with </w:t>
      </w:r>
      <w:r w:rsidR="005B6F5A" w:rsidRPr="003F7CAE">
        <w:rPr>
          <w:rFonts w:cs="Times New Roman"/>
          <w:szCs w:val="24"/>
        </w:rPr>
        <w:t>the virtues espoused in the Bible</w:t>
      </w:r>
      <w:r w:rsidRPr="003F7CAE">
        <w:rPr>
          <w:rFonts w:cs="Times New Roman"/>
          <w:szCs w:val="24"/>
        </w:rPr>
        <w:t xml:space="preserve">. </w:t>
      </w:r>
      <w:r w:rsidR="005B6F5A" w:rsidRPr="003F7CAE">
        <w:rPr>
          <w:rFonts w:cs="Times New Roman"/>
          <w:szCs w:val="24"/>
        </w:rPr>
        <w:t xml:space="preserve">For others it is the discomforts </w:t>
      </w:r>
      <w:r w:rsidR="009A1991" w:rsidRPr="003F7CAE">
        <w:rPr>
          <w:rFonts w:cs="Times New Roman"/>
          <w:szCs w:val="24"/>
        </w:rPr>
        <w:t>that they</w:t>
      </w:r>
      <w:r w:rsidR="005B6F5A" w:rsidRPr="003F7CAE">
        <w:rPr>
          <w:rFonts w:cs="Times New Roman"/>
          <w:szCs w:val="24"/>
        </w:rPr>
        <w:t xml:space="preserve"> continue to feel in a new religion while reminiscing their former experiences of traditional religion.</w:t>
      </w:r>
    </w:p>
    <w:p w14:paraId="1ACC8021" w14:textId="33C77196" w:rsidR="00EA0609" w:rsidRPr="003F7CAE" w:rsidRDefault="00EA0609" w:rsidP="00A57FB6">
      <w:pPr>
        <w:ind w:firstLine="720"/>
        <w:rPr>
          <w:rFonts w:cs="Times New Roman"/>
          <w:szCs w:val="24"/>
        </w:rPr>
      </w:pPr>
      <w:r w:rsidRPr="003F7CAE">
        <w:rPr>
          <w:rFonts w:cs="Times New Roman"/>
          <w:szCs w:val="24"/>
        </w:rPr>
        <w:t>The purpose of this paper is to appreciate the beliefs and practices of the African Tradition</w:t>
      </w:r>
      <w:r w:rsidR="004714E0">
        <w:rPr>
          <w:rFonts w:cs="Times New Roman"/>
          <w:szCs w:val="24"/>
        </w:rPr>
        <w:t>al</w:t>
      </w:r>
      <w:r w:rsidRPr="003F7CAE">
        <w:rPr>
          <w:rFonts w:cs="Times New Roman"/>
          <w:szCs w:val="24"/>
        </w:rPr>
        <w:t xml:space="preserve"> Religion and weigh them against the Christian faith.</w:t>
      </w:r>
      <w:r w:rsidR="000365F5" w:rsidRPr="003F7CAE">
        <w:rPr>
          <w:rFonts w:cs="Times New Roman"/>
          <w:szCs w:val="24"/>
        </w:rPr>
        <w:t xml:space="preserve"> After all is said and done, </w:t>
      </w:r>
      <w:r w:rsidR="00947EE0" w:rsidRPr="003F7CAE">
        <w:rPr>
          <w:rFonts w:cs="Times New Roman"/>
          <w:szCs w:val="24"/>
        </w:rPr>
        <w:t xml:space="preserve">this </w:t>
      </w:r>
      <w:r w:rsidR="00947EE0" w:rsidRPr="003F7CAE">
        <w:rPr>
          <w:rFonts w:cs="Times New Roman"/>
          <w:szCs w:val="24"/>
        </w:rPr>
        <w:lastRenderedPageBreak/>
        <w:t>paper argues that</w:t>
      </w:r>
      <w:r w:rsidRPr="003F7CAE">
        <w:rPr>
          <w:rFonts w:cs="Times New Roman"/>
          <w:szCs w:val="24"/>
        </w:rPr>
        <w:t xml:space="preserve"> </w:t>
      </w:r>
      <w:r w:rsidR="00965446">
        <w:rPr>
          <w:rFonts w:cs="Times New Roman"/>
          <w:szCs w:val="24"/>
        </w:rPr>
        <w:t xml:space="preserve">while African Traditional Religion </w:t>
      </w:r>
      <w:r w:rsidR="0081498C">
        <w:rPr>
          <w:rFonts w:cs="Times New Roman"/>
          <w:szCs w:val="24"/>
        </w:rPr>
        <w:t>is replete with sacred religious symbols and varied systems, Christianity paints a better picture of who God is.</w:t>
      </w:r>
      <w:r w:rsidR="00965446">
        <w:rPr>
          <w:rFonts w:cs="Times New Roman"/>
          <w:szCs w:val="24"/>
        </w:rPr>
        <w:t xml:space="preserve"> </w:t>
      </w:r>
    </w:p>
    <w:p w14:paraId="285E0CC2" w14:textId="605BE31B" w:rsidR="007927B9" w:rsidRPr="003F7CAE" w:rsidRDefault="00D87AF3" w:rsidP="00C226D3">
      <w:pPr>
        <w:pStyle w:val="Heading1"/>
        <w:rPr>
          <w:rFonts w:cs="Times New Roman"/>
          <w:color w:val="auto"/>
          <w:szCs w:val="24"/>
        </w:rPr>
      </w:pPr>
      <w:bookmarkStart w:id="24" w:name="_Toc80073301"/>
      <w:r w:rsidRPr="003F7CAE">
        <w:rPr>
          <w:rFonts w:cs="Times New Roman"/>
          <w:color w:val="auto"/>
          <w:szCs w:val="24"/>
        </w:rPr>
        <w:t>Basic Traits</w:t>
      </w:r>
      <w:r w:rsidR="007927B9" w:rsidRPr="003F7CAE">
        <w:rPr>
          <w:rFonts w:cs="Times New Roman"/>
          <w:color w:val="auto"/>
          <w:szCs w:val="24"/>
        </w:rPr>
        <w:t xml:space="preserve"> of African Traditional Religion</w:t>
      </w:r>
      <w:bookmarkEnd w:id="24"/>
    </w:p>
    <w:p w14:paraId="32E9F693" w14:textId="564EB48A" w:rsidR="00FE2079" w:rsidRPr="003F7CAE" w:rsidRDefault="00A2002E" w:rsidP="00FE2079">
      <w:pPr>
        <w:ind w:firstLine="720"/>
        <w:rPr>
          <w:rFonts w:cs="Times New Roman"/>
          <w:szCs w:val="24"/>
        </w:rPr>
      </w:pPr>
      <w:r w:rsidRPr="003F7CAE">
        <w:rPr>
          <w:rFonts w:cs="Times New Roman"/>
          <w:szCs w:val="24"/>
        </w:rPr>
        <w:t>Usually, when people here about African Tradition</w:t>
      </w:r>
      <w:r w:rsidR="00DB65E1" w:rsidRPr="003F7CAE">
        <w:rPr>
          <w:rFonts w:cs="Times New Roman"/>
          <w:szCs w:val="24"/>
        </w:rPr>
        <w:t>al</w:t>
      </w:r>
      <w:r w:rsidRPr="003F7CAE">
        <w:rPr>
          <w:rFonts w:cs="Times New Roman"/>
          <w:szCs w:val="24"/>
        </w:rPr>
        <w:t xml:space="preserve"> Religion</w:t>
      </w:r>
      <w:r w:rsidR="00FF04EB">
        <w:rPr>
          <w:rFonts w:cs="Times New Roman"/>
          <w:szCs w:val="24"/>
        </w:rPr>
        <w:t xml:space="preserve"> (ATR)</w:t>
      </w:r>
      <w:r w:rsidRPr="003F7CAE">
        <w:rPr>
          <w:rFonts w:cs="Times New Roman"/>
          <w:szCs w:val="24"/>
        </w:rPr>
        <w:t>, they imagine of people doing primitive thing</w:t>
      </w:r>
      <w:r w:rsidR="00DF3A0F" w:rsidRPr="003F7CAE">
        <w:rPr>
          <w:rFonts w:cs="Times New Roman"/>
          <w:szCs w:val="24"/>
        </w:rPr>
        <w:t>s</w:t>
      </w:r>
      <w:r w:rsidR="007117E8" w:rsidRPr="003F7CAE">
        <w:rPr>
          <w:rFonts w:cs="Times New Roman"/>
          <w:szCs w:val="24"/>
        </w:rPr>
        <w:t xml:space="preserve"> such as</w:t>
      </w:r>
      <w:r w:rsidRPr="003F7CAE">
        <w:rPr>
          <w:rFonts w:cs="Times New Roman"/>
          <w:szCs w:val="24"/>
        </w:rPr>
        <w:t xml:space="preserve"> moving about without clothes or shoes</w:t>
      </w:r>
      <w:r w:rsidR="00DF3A0F" w:rsidRPr="003F7CAE">
        <w:rPr>
          <w:rFonts w:cs="Times New Roman"/>
          <w:szCs w:val="24"/>
        </w:rPr>
        <w:t xml:space="preserve">, </w:t>
      </w:r>
      <w:r w:rsidRPr="003F7CAE">
        <w:rPr>
          <w:rFonts w:cs="Times New Roman"/>
          <w:szCs w:val="24"/>
        </w:rPr>
        <w:t xml:space="preserve">chanting gibberish </w:t>
      </w:r>
      <w:r w:rsidR="007117E8" w:rsidRPr="003F7CAE">
        <w:rPr>
          <w:rFonts w:cs="Times New Roman"/>
          <w:szCs w:val="24"/>
        </w:rPr>
        <w:t>words</w:t>
      </w:r>
      <w:r w:rsidR="00DF3A0F" w:rsidRPr="003F7CAE">
        <w:rPr>
          <w:rFonts w:cs="Times New Roman"/>
          <w:szCs w:val="24"/>
        </w:rPr>
        <w:t xml:space="preserve"> and so </w:t>
      </w:r>
      <w:r w:rsidR="007117E8" w:rsidRPr="003F7CAE">
        <w:rPr>
          <w:rFonts w:cs="Times New Roman"/>
          <w:szCs w:val="24"/>
        </w:rPr>
        <w:t>on</w:t>
      </w:r>
      <w:r w:rsidRPr="003F7CAE">
        <w:rPr>
          <w:rFonts w:cs="Times New Roman"/>
          <w:szCs w:val="24"/>
        </w:rPr>
        <w:t xml:space="preserve">. </w:t>
      </w:r>
      <w:r w:rsidR="006B2E64" w:rsidRPr="003F7CAE">
        <w:rPr>
          <w:rFonts w:cs="Times New Roman"/>
          <w:szCs w:val="24"/>
        </w:rPr>
        <w:t xml:space="preserve">Simply, historically and ideologically, Africa has been presented as a dark continent. </w:t>
      </w:r>
      <w:r w:rsidR="005E07D6">
        <w:rPr>
          <w:rFonts w:cs="Times New Roman"/>
          <w:szCs w:val="24"/>
        </w:rPr>
        <w:t>S</w:t>
      </w:r>
      <w:r w:rsidR="00C0592A">
        <w:rPr>
          <w:rFonts w:cs="Times New Roman"/>
          <w:szCs w:val="24"/>
        </w:rPr>
        <w:t>adly also</w:t>
      </w:r>
      <w:r w:rsidR="005E07D6">
        <w:rPr>
          <w:rFonts w:cs="Times New Roman"/>
          <w:szCs w:val="24"/>
        </w:rPr>
        <w:t xml:space="preserve">, </w:t>
      </w:r>
      <w:r w:rsidR="005E07D6">
        <w:t>too often scholars have privileged the processes of conversion to Islam and Christianity as the central historical dynamic of African religion, thereby consigning indigenous belief to the realm of unchanging tradition.</w:t>
      </w:r>
      <w:r w:rsidR="005E07D6">
        <w:rPr>
          <w:rStyle w:val="FootnoteReference"/>
        </w:rPr>
        <w:footnoteReference w:id="3"/>
      </w:r>
      <w:r w:rsidR="005D02ED" w:rsidRPr="005D02ED">
        <w:t xml:space="preserve"> </w:t>
      </w:r>
      <w:r w:rsidR="005D02ED" w:rsidRPr="009B52AF">
        <w:t>Cuthbeth</w:t>
      </w:r>
      <w:r w:rsidR="005D02ED" w:rsidRPr="005D02ED">
        <w:t xml:space="preserve"> </w:t>
      </w:r>
      <w:r w:rsidR="005D02ED" w:rsidRPr="009B52AF">
        <w:t>Tagwirei</w:t>
      </w:r>
      <w:r w:rsidR="005D02ED">
        <w:t xml:space="preserve"> adds, “It should be borne in mind that colonial power rested on the logic of terra nullius: nothing existed prior to the coming of whites to Africa.”</w:t>
      </w:r>
      <w:r w:rsidR="005D02ED">
        <w:rPr>
          <w:rStyle w:val="FootnoteReference"/>
        </w:rPr>
        <w:footnoteReference w:id="4"/>
      </w:r>
      <w:r w:rsidR="005E07D6">
        <w:t xml:space="preserve"> </w:t>
      </w:r>
      <w:r w:rsidR="00844EA1">
        <w:t xml:space="preserve">It comes as no surprise that </w:t>
      </w:r>
      <w:r w:rsidR="005D02ED">
        <w:t>to the present</w:t>
      </w:r>
      <w:r w:rsidR="00FE1AB8">
        <w:t>,</w:t>
      </w:r>
      <w:r w:rsidR="005D02ED">
        <w:t xml:space="preserve"> </w:t>
      </w:r>
      <w:r w:rsidR="00844EA1">
        <w:t xml:space="preserve">many western scholars </w:t>
      </w:r>
      <w:r w:rsidR="00FE1AB8">
        <w:t>struggle</w:t>
      </w:r>
      <w:r w:rsidR="00844EA1">
        <w:t xml:space="preserve"> </w:t>
      </w:r>
      <w:r w:rsidR="00FE1AB8">
        <w:t xml:space="preserve">to recognize </w:t>
      </w:r>
      <w:r w:rsidR="00844EA1">
        <w:t xml:space="preserve">the believes of African traditional religions. </w:t>
      </w:r>
      <w:r w:rsidRPr="003F7CAE">
        <w:rPr>
          <w:rFonts w:cs="Times New Roman"/>
          <w:szCs w:val="24"/>
        </w:rPr>
        <w:t xml:space="preserve">But as this </w:t>
      </w:r>
      <w:r w:rsidR="00DB65E1" w:rsidRPr="003F7CAE">
        <w:rPr>
          <w:rFonts w:cs="Times New Roman"/>
          <w:szCs w:val="24"/>
        </w:rPr>
        <w:t>section</w:t>
      </w:r>
      <w:r w:rsidRPr="003F7CAE">
        <w:rPr>
          <w:rFonts w:cs="Times New Roman"/>
          <w:szCs w:val="24"/>
        </w:rPr>
        <w:t xml:space="preserve"> is going to demonstrate</w:t>
      </w:r>
      <w:r w:rsidR="00711C41" w:rsidRPr="003F7CAE">
        <w:rPr>
          <w:rFonts w:cs="Times New Roman"/>
          <w:szCs w:val="24"/>
        </w:rPr>
        <w:t>,</w:t>
      </w:r>
      <w:r w:rsidRPr="003F7CAE">
        <w:rPr>
          <w:rFonts w:cs="Times New Roman"/>
          <w:szCs w:val="24"/>
        </w:rPr>
        <w:t xml:space="preserve"> </w:t>
      </w:r>
      <w:r w:rsidR="00314142" w:rsidRPr="003F7CAE">
        <w:rPr>
          <w:rFonts w:cs="Times New Roman"/>
          <w:szCs w:val="24"/>
        </w:rPr>
        <w:t>Afric</w:t>
      </w:r>
      <w:r w:rsidR="007117E8" w:rsidRPr="003F7CAE">
        <w:rPr>
          <w:rFonts w:cs="Times New Roman"/>
          <w:szCs w:val="24"/>
        </w:rPr>
        <w:t>a</w:t>
      </w:r>
      <w:r w:rsidR="00314142" w:rsidRPr="003F7CAE">
        <w:rPr>
          <w:rFonts w:cs="Times New Roman"/>
          <w:szCs w:val="24"/>
        </w:rPr>
        <w:t xml:space="preserve"> </w:t>
      </w:r>
      <w:r w:rsidRPr="003F7CAE">
        <w:rPr>
          <w:rFonts w:cs="Times New Roman"/>
          <w:szCs w:val="24"/>
        </w:rPr>
        <w:t>Tradition</w:t>
      </w:r>
      <w:r w:rsidR="007117E8" w:rsidRPr="003F7CAE">
        <w:rPr>
          <w:rFonts w:cs="Times New Roman"/>
          <w:szCs w:val="24"/>
        </w:rPr>
        <w:t>al Religion</w:t>
      </w:r>
      <w:r w:rsidRPr="003F7CAE">
        <w:rPr>
          <w:rFonts w:cs="Times New Roman"/>
          <w:szCs w:val="24"/>
        </w:rPr>
        <w:t xml:space="preserve"> is</w:t>
      </w:r>
      <w:r w:rsidR="00314142" w:rsidRPr="003F7CAE">
        <w:rPr>
          <w:rFonts w:cs="Times New Roman"/>
          <w:szCs w:val="24"/>
        </w:rPr>
        <w:t xml:space="preserve"> not as simple as many people think</w:t>
      </w:r>
      <w:r w:rsidR="006B2E64" w:rsidRPr="003F7CAE">
        <w:rPr>
          <w:rFonts w:cs="Times New Roman"/>
          <w:szCs w:val="24"/>
        </w:rPr>
        <w:t xml:space="preserve">; </w:t>
      </w:r>
      <w:r w:rsidRPr="003F7CAE">
        <w:rPr>
          <w:rFonts w:cs="Times New Roman"/>
          <w:szCs w:val="24"/>
        </w:rPr>
        <w:t>It is</w:t>
      </w:r>
      <w:r w:rsidR="00314142" w:rsidRPr="003F7CAE">
        <w:rPr>
          <w:rFonts w:cs="Times New Roman"/>
          <w:szCs w:val="24"/>
        </w:rPr>
        <w:t xml:space="preserve"> complex in nature</w:t>
      </w:r>
      <w:r w:rsidR="007117E8" w:rsidRPr="003F7CAE">
        <w:rPr>
          <w:rFonts w:cs="Times New Roman"/>
          <w:szCs w:val="24"/>
        </w:rPr>
        <w:t xml:space="preserve">. </w:t>
      </w:r>
      <w:r w:rsidR="006B2E64" w:rsidRPr="003F7CAE">
        <w:rPr>
          <w:rFonts w:cs="Times New Roman"/>
          <w:szCs w:val="24"/>
        </w:rPr>
        <w:t xml:space="preserve">It is not as dark as many people imagine; it </w:t>
      </w:r>
      <w:r w:rsidR="00DF3A0F" w:rsidRPr="003F7CAE">
        <w:rPr>
          <w:rFonts w:cs="Times New Roman"/>
          <w:szCs w:val="24"/>
        </w:rPr>
        <w:t xml:space="preserve">is </w:t>
      </w:r>
      <w:r w:rsidR="00C0592A">
        <w:rPr>
          <w:rFonts w:cs="Times New Roman"/>
          <w:szCs w:val="24"/>
        </w:rPr>
        <w:t xml:space="preserve">sparkling </w:t>
      </w:r>
      <w:r w:rsidR="006B2E64" w:rsidRPr="003F7CAE">
        <w:rPr>
          <w:rFonts w:cs="Times New Roman"/>
          <w:szCs w:val="24"/>
        </w:rPr>
        <w:t xml:space="preserve">bright. </w:t>
      </w:r>
      <w:r w:rsidR="00DF3A0F" w:rsidRPr="003F7CAE">
        <w:rPr>
          <w:rFonts w:cs="Times New Roman"/>
          <w:szCs w:val="24"/>
        </w:rPr>
        <w:t xml:space="preserve">It is not as foolish as some would think; it is </w:t>
      </w:r>
      <w:r w:rsidR="00C0592A">
        <w:rPr>
          <w:rFonts w:cs="Times New Roman"/>
          <w:szCs w:val="24"/>
        </w:rPr>
        <w:t>intelligently wise</w:t>
      </w:r>
      <w:r w:rsidR="00DF3A0F" w:rsidRPr="003F7CAE">
        <w:rPr>
          <w:rFonts w:cs="Times New Roman"/>
          <w:szCs w:val="24"/>
        </w:rPr>
        <w:t>.</w:t>
      </w:r>
      <w:r w:rsidR="00C0592A">
        <w:rPr>
          <w:rFonts w:cs="Times New Roman"/>
          <w:szCs w:val="24"/>
        </w:rPr>
        <w:t xml:space="preserve"> And lastly, i</w:t>
      </w:r>
      <w:r w:rsidR="005E07D6">
        <w:rPr>
          <w:rFonts w:cs="Times New Roman"/>
          <w:szCs w:val="24"/>
        </w:rPr>
        <w:t>t did not begin with the processes of conversion to Islam and Christianity; it was there since time immemorial.</w:t>
      </w:r>
    </w:p>
    <w:p w14:paraId="7D20E909" w14:textId="3DA4AACB" w:rsidR="00FE2079" w:rsidRPr="003F7CAE" w:rsidRDefault="00FE2079" w:rsidP="00FE2079">
      <w:pPr>
        <w:ind w:firstLine="720"/>
        <w:rPr>
          <w:rFonts w:cs="Times New Roman"/>
          <w:szCs w:val="24"/>
        </w:rPr>
      </w:pPr>
      <w:r w:rsidRPr="003F7CAE">
        <w:rPr>
          <w:rFonts w:cs="Times New Roman"/>
          <w:szCs w:val="24"/>
        </w:rPr>
        <w:t xml:space="preserve">One explanation for the apparent darkness of the African </w:t>
      </w:r>
      <w:r w:rsidR="00711C41" w:rsidRPr="003F7CAE">
        <w:rPr>
          <w:rFonts w:cs="Times New Roman"/>
          <w:szCs w:val="24"/>
        </w:rPr>
        <w:t>T</w:t>
      </w:r>
      <w:r w:rsidRPr="003F7CAE">
        <w:rPr>
          <w:rFonts w:cs="Times New Roman"/>
          <w:szCs w:val="24"/>
        </w:rPr>
        <w:t>radition</w:t>
      </w:r>
      <w:r w:rsidR="00711C41" w:rsidRPr="003F7CAE">
        <w:rPr>
          <w:rFonts w:cs="Times New Roman"/>
          <w:szCs w:val="24"/>
        </w:rPr>
        <w:t>al</w:t>
      </w:r>
      <w:r w:rsidRPr="003F7CAE">
        <w:rPr>
          <w:rFonts w:cs="Times New Roman"/>
          <w:szCs w:val="24"/>
        </w:rPr>
        <w:t xml:space="preserve"> </w:t>
      </w:r>
      <w:r w:rsidR="00711C41" w:rsidRPr="003F7CAE">
        <w:rPr>
          <w:rFonts w:cs="Times New Roman"/>
          <w:szCs w:val="24"/>
        </w:rPr>
        <w:t>R</w:t>
      </w:r>
      <w:r w:rsidRPr="003F7CAE">
        <w:rPr>
          <w:rFonts w:cs="Times New Roman"/>
          <w:szCs w:val="24"/>
        </w:rPr>
        <w:t xml:space="preserve">eligion is that quite a number of tribes have a code for not publishing or letting others know of their ways. For instance, the </w:t>
      </w:r>
      <w:r w:rsidR="00FE1AB8" w:rsidRPr="003F7CAE">
        <w:rPr>
          <w:rFonts w:cs="Times New Roman"/>
          <w:szCs w:val="24"/>
        </w:rPr>
        <w:t>Zulu</w:t>
      </w:r>
      <w:r w:rsidRPr="003F7CAE">
        <w:rPr>
          <w:rFonts w:cs="Times New Roman"/>
          <w:szCs w:val="24"/>
        </w:rPr>
        <w:t xml:space="preserve"> tribe of south Africa, are hideous about some of their witchdoctors’ practices. Mutwa</w:t>
      </w:r>
      <w:r w:rsidR="00711C41" w:rsidRPr="003F7CAE">
        <w:rPr>
          <w:rFonts w:cs="Times New Roman"/>
          <w:szCs w:val="24"/>
        </w:rPr>
        <w:t xml:space="preserve">, a former witch doctor and now turned Christian scholar says, </w:t>
      </w:r>
      <w:r w:rsidRPr="003F7CAE">
        <w:rPr>
          <w:rFonts w:cs="Times New Roman"/>
          <w:szCs w:val="24"/>
        </w:rPr>
        <w:t xml:space="preserve">that when he was initiated </w:t>
      </w:r>
      <w:r w:rsidRPr="003F7CAE">
        <w:rPr>
          <w:rFonts w:cs="Times New Roman"/>
          <w:szCs w:val="24"/>
        </w:rPr>
        <w:lastRenderedPageBreak/>
        <w:t>as a sangoma (witch or diviner), he took a vow never to reveal tribal knowledge, but soon after felt that was no longer appropriate and that he should share the wisdom with the world - as a result many people have ostracized him.</w:t>
      </w:r>
      <w:r w:rsidRPr="003F7CAE">
        <w:rPr>
          <w:rStyle w:val="FootnoteReference"/>
          <w:rFonts w:cs="Times New Roman"/>
          <w:sz w:val="24"/>
          <w:szCs w:val="24"/>
        </w:rPr>
        <w:footnoteReference w:id="5"/>
      </w:r>
    </w:p>
    <w:p w14:paraId="33872BCD" w14:textId="0A4AD295" w:rsidR="00C4515E" w:rsidRPr="003F7CAE" w:rsidRDefault="00FE2079" w:rsidP="00FE2079">
      <w:pPr>
        <w:ind w:firstLine="720"/>
        <w:rPr>
          <w:rFonts w:cs="Times New Roman"/>
          <w:szCs w:val="24"/>
        </w:rPr>
      </w:pPr>
      <w:r w:rsidRPr="003F7CAE">
        <w:rPr>
          <w:rFonts w:cs="Times New Roman"/>
          <w:szCs w:val="24"/>
        </w:rPr>
        <w:t xml:space="preserve">That being said, though it does not help that there </w:t>
      </w:r>
      <w:r w:rsidR="00711C41" w:rsidRPr="003F7CAE">
        <w:rPr>
          <w:rFonts w:cs="Times New Roman"/>
          <w:szCs w:val="24"/>
        </w:rPr>
        <w:t xml:space="preserve">is not much information out there </w:t>
      </w:r>
      <w:r w:rsidRPr="003F7CAE">
        <w:rPr>
          <w:rFonts w:cs="Times New Roman"/>
          <w:szCs w:val="24"/>
        </w:rPr>
        <w:t xml:space="preserve">to help teach what ATR is about, there </w:t>
      </w:r>
      <w:r w:rsidR="00711C41" w:rsidRPr="003F7CAE">
        <w:rPr>
          <w:rFonts w:cs="Times New Roman"/>
          <w:szCs w:val="24"/>
        </w:rPr>
        <w:t xml:space="preserve">is </w:t>
      </w:r>
      <w:r w:rsidRPr="003F7CAE">
        <w:rPr>
          <w:rFonts w:cs="Times New Roman"/>
          <w:szCs w:val="24"/>
        </w:rPr>
        <w:t xml:space="preserve">clear evidence that ATR is not only rich in diversity but it has </w:t>
      </w:r>
      <w:r w:rsidR="00711C41" w:rsidRPr="003F7CAE">
        <w:rPr>
          <w:rFonts w:cs="Times New Roman"/>
          <w:szCs w:val="24"/>
        </w:rPr>
        <w:t>some basic traits that could pass for a standard religion</w:t>
      </w:r>
      <w:r w:rsidRPr="003F7CAE">
        <w:rPr>
          <w:rFonts w:cs="Times New Roman"/>
          <w:szCs w:val="24"/>
        </w:rPr>
        <w:t>.</w:t>
      </w:r>
      <w:r w:rsidR="00711C41" w:rsidRPr="003F7CAE">
        <w:rPr>
          <w:rFonts w:cs="Times New Roman"/>
          <w:szCs w:val="24"/>
        </w:rPr>
        <w:t xml:space="preserve"> In his book, </w:t>
      </w:r>
      <w:r w:rsidR="00711C41" w:rsidRPr="003F7CAE">
        <w:rPr>
          <w:rStyle w:val="Emphasis"/>
          <w:rFonts w:cs="Times New Roman"/>
          <w:szCs w:val="24"/>
        </w:rPr>
        <w:t>Neighboring Faiths: A Christian Introduction to World Religions,</w:t>
      </w:r>
      <w:r w:rsidRPr="003F7CAE">
        <w:rPr>
          <w:rFonts w:cs="Times New Roman"/>
          <w:szCs w:val="24"/>
        </w:rPr>
        <w:t xml:space="preserve"> </w:t>
      </w:r>
      <w:r w:rsidR="00314142" w:rsidRPr="003F7CAE">
        <w:rPr>
          <w:rFonts w:cs="Times New Roman"/>
          <w:szCs w:val="24"/>
        </w:rPr>
        <w:t xml:space="preserve">Winfried Corduan </w:t>
      </w:r>
      <w:r w:rsidR="00711C41" w:rsidRPr="003F7CAE">
        <w:rPr>
          <w:rFonts w:cs="Times New Roman"/>
          <w:szCs w:val="24"/>
        </w:rPr>
        <w:t>postulates</w:t>
      </w:r>
      <w:r w:rsidR="003D768F" w:rsidRPr="003F7CAE">
        <w:rPr>
          <w:rFonts w:cs="Times New Roman"/>
          <w:szCs w:val="24"/>
        </w:rPr>
        <w:t xml:space="preserve"> trait</w:t>
      </w:r>
      <w:r w:rsidR="00711C41" w:rsidRPr="003F7CAE">
        <w:rPr>
          <w:rFonts w:cs="Times New Roman"/>
          <w:szCs w:val="24"/>
        </w:rPr>
        <w:t>s</w:t>
      </w:r>
      <w:r w:rsidR="00A2002E" w:rsidRPr="003F7CAE">
        <w:rPr>
          <w:rFonts w:cs="Times New Roman"/>
          <w:szCs w:val="24"/>
        </w:rPr>
        <w:t xml:space="preserve"> that all </w:t>
      </w:r>
      <w:r w:rsidR="003D768F" w:rsidRPr="003F7CAE">
        <w:rPr>
          <w:rFonts w:cs="Times New Roman"/>
          <w:szCs w:val="24"/>
        </w:rPr>
        <w:t>traditional</w:t>
      </w:r>
      <w:r w:rsidR="00A2002E" w:rsidRPr="003F7CAE">
        <w:rPr>
          <w:rFonts w:cs="Times New Roman"/>
          <w:szCs w:val="24"/>
        </w:rPr>
        <w:t xml:space="preserve"> religions seem to have. These are: recognition of high spiritual being, philosophy of life, community orientation, importance of rites of passage, rituals and magic, and witchcraft.</w:t>
      </w:r>
      <w:r w:rsidR="003D768F" w:rsidRPr="003F7CAE">
        <w:rPr>
          <w:rStyle w:val="FootnoteReference"/>
          <w:rFonts w:cs="Times New Roman"/>
          <w:sz w:val="24"/>
          <w:szCs w:val="24"/>
        </w:rPr>
        <w:footnoteReference w:id="6"/>
      </w:r>
    </w:p>
    <w:p w14:paraId="4786EF49" w14:textId="724A88A0" w:rsidR="007927B9" w:rsidRPr="003F7CAE" w:rsidRDefault="007927B9" w:rsidP="001F4B75">
      <w:pPr>
        <w:pStyle w:val="Heading2"/>
        <w:rPr>
          <w:rFonts w:cs="Times New Roman"/>
          <w:color w:val="auto"/>
          <w:szCs w:val="24"/>
        </w:rPr>
      </w:pPr>
      <w:bookmarkStart w:id="25" w:name="_Toc80073302"/>
      <w:r w:rsidRPr="003F7CAE">
        <w:rPr>
          <w:rFonts w:cs="Times New Roman"/>
          <w:color w:val="auto"/>
          <w:szCs w:val="24"/>
        </w:rPr>
        <w:t xml:space="preserve">Recognition </w:t>
      </w:r>
      <w:r w:rsidR="00FE1AB8">
        <w:rPr>
          <w:rFonts w:cs="Times New Roman"/>
          <w:color w:val="auto"/>
          <w:szCs w:val="24"/>
        </w:rPr>
        <w:t>o</w:t>
      </w:r>
      <w:r w:rsidR="00FE1AB8" w:rsidRPr="003F7CAE">
        <w:rPr>
          <w:rFonts w:cs="Times New Roman"/>
          <w:color w:val="auto"/>
          <w:szCs w:val="24"/>
        </w:rPr>
        <w:t xml:space="preserve">f </w:t>
      </w:r>
      <w:r w:rsidR="00FE1AB8">
        <w:rPr>
          <w:rFonts w:cs="Times New Roman"/>
          <w:color w:val="auto"/>
          <w:szCs w:val="24"/>
        </w:rPr>
        <w:t xml:space="preserve">a </w:t>
      </w:r>
      <w:r w:rsidR="00FE1AB8" w:rsidRPr="003F7CAE">
        <w:rPr>
          <w:rFonts w:cs="Times New Roman"/>
          <w:color w:val="auto"/>
          <w:szCs w:val="24"/>
        </w:rPr>
        <w:t>High Spiritual Being</w:t>
      </w:r>
      <w:bookmarkEnd w:id="25"/>
    </w:p>
    <w:p w14:paraId="7E6027B5" w14:textId="319D516B" w:rsidR="001F4B75" w:rsidRPr="003F7CAE" w:rsidRDefault="00F76D7E" w:rsidP="00711C41">
      <w:pPr>
        <w:ind w:firstLine="720"/>
        <w:rPr>
          <w:rFonts w:cs="Times New Roman"/>
          <w:szCs w:val="24"/>
        </w:rPr>
      </w:pPr>
      <w:r w:rsidRPr="003F7CAE">
        <w:rPr>
          <w:rFonts w:cs="Times New Roman"/>
          <w:szCs w:val="24"/>
        </w:rPr>
        <w:t>One would expect that a religion has a founder and a specific date or period in which it started. That’s not the case with most traditional religions. African Tradition</w:t>
      </w:r>
      <w:r w:rsidR="00711C41" w:rsidRPr="003F7CAE">
        <w:rPr>
          <w:rFonts w:cs="Times New Roman"/>
          <w:szCs w:val="24"/>
        </w:rPr>
        <w:t>al</w:t>
      </w:r>
      <w:r w:rsidRPr="003F7CAE">
        <w:rPr>
          <w:rFonts w:cs="Times New Roman"/>
          <w:szCs w:val="24"/>
        </w:rPr>
        <w:t xml:space="preserve"> Religion history </w:t>
      </w:r>
      <w:r w:rsidR="00711C41" w:rsidRPr="003F7CAE">
        <w:rPr>
          <w:rFonts w:cs="Times New Roman"/>
          <w:szCs w:val="24"/>
        </w:rPr>
        <w:t xml:space="preserve">and gods </w:t>
      </w:r>
      <w:r w:rsidRPr="003F7CAE">
        <w:rPr>
          <w:rFonts w:cs="Times New Roman"/>
          <w:szCs w:val="24"/>
        </w:rPr>
        <w:t xml:space="preserve">differ from tribe to tribe. </w:t>
      </w:r>
      <w:r w:rsidR="00BB22E1" w:rsidRPr="003F7CAE">
        <w:rPr>
          <w:rFonts w:cs="Times New Roman"/>
          <w:szCs w:val="24"/>
        </w:rPr>
        <w:t xml:space="preserve">At the basic level however, most of them recognize the triad of </w:t>
      </w:r>
      <w:r w:rsidR="00FE1AB8" w:rsidRPr="003F7CAE">
        <w:rPr>
          <w:rFonts w:cs="Times New Roman"/>
          <w:szCs w:val="24"/>
        </w:rPr>
        <w:t>God</w:t>
      </w:r>
      <w:r w:rsidR="00BB22E1" w:rsidRPr="003F7CAE">
        <w:rPr>
          <w:rFonts w:cs="Times New Roman"/>
          <w:szCs w:val="24"/>
        </w:rPr>
        <w:t>, nature spirits and ancestor spirits.</w:t>
      </w:r>
      <w:r w:rsidR="00BB22E1" w:rsidRPr="003F7CAE">
        <w:rPr>
          <w:rStyle w:val="FootnoteReference"/>
          <w:rFonts w:cs="Times New Roman"/>
          <w:sz w:val="24"/>
          <w:szCs w:val="24"/>
        </w:rPr>
        <w:footnoteReference w:id="7"/>
      </w:r>
      <w:r w:rsidR="00BB22E1" w:rsidRPr="003F7CAE">
        <w:rPr>
          <w:rFonts w:cs="Times New Roman"/>
          <w:szCs w:val="24"/>
        </w:rPr>
        <w:t xml:space="preserve"> In addition, they tend to attach varying importance to each.</w:t>
      </w:r>
      <w:r w:rsidR="00BB22E1" w:rsidRPr="003F7CAE">
        <w:rPr>
          <w:rStyle w:val="FootnoteReference"/>
          <w:rFonts w:cs="Times New Roman"/>
          <w:sz w:val="24"/>
          <w:szCs w:val="24"/>
        </w:rPr>
        <w:footnoteReference w:id="8"/>
      </w:r>
      <w:r w:rsidR="00BB22E1" w:rsidRPr="003F7CAE">
        <w:rPr>
          <w:rFonts w:cs="Times New Roman"/>
          <w:szCs w:val="24"/>
        </w:rPr>
        <w:t xml:space="preserve"> </w:t>
      </w:r>
    </w:p>
    <w:p w14:paraId="3A5285A7" w14:textId="46528C87" w:rsidR="001F4B75" w:rsidRPr="003F7CAE" w:rsidRDefault="001F4B75" w:rsidP="001F4B75">
      <w:pPr>
        <w:pStyle w:val="Heading3"/>
        <w:jc w:val="center"/>
        <w:rPr>
          <w:rFonts w:ascii="Times New Roman" w:hAnsi="Times New Roman" w:cs="Times New Roman"/>
          <w:color w:val="auto"/>
        </w:rPr>
      </w:pPr>
      <w:bookmarkStart w:id="26" w:name="_Toc80073303"/>
      <w:r w:rsidRPr="003F7CAE">
        <w:rPr>
          <w:rFonts w:ascii="Times New Roman" w:hAnsi="Times New Roman" w:cs="Times New Roman"/>
          <w:color w:val="auto"/>
        </w:rPr>
        <w:t>Supreme Being</w:t>
      </w:r>
      <w:bookmarkEnd w:id="26"/>
    </w:p>
    <w:p w14:paraId="0A5E9DF8" w14:textId="3683EA84" w:rsidR="00844EA1" w:rsidRDefault="00C0592A" w:rsidP="00844EA1">
      <w:pPr>
        <w:ind w:firstLine="720"/>
        <w:rPr>
          <w:rFonts w:cs="Times New Roman"/>
          <w:szCs w:val="24"/>
        </w:rPr>
      </w:pPr>
      <w:r>
        <w:rPr>
          <w:rFonts w:cs="Times New Roman"/>
          <w:szCs w:val="24"/>
        </w:rPr>
        <w:t xml:space="preserve">Though ATR is diverse, there is one basic </w:t>
      </w:r>
      <w:r w:rsidR="00844EA1">
        <w:rPr>
          <w:rFonts w:cs="Times New Roman"/>
          <w:szCs w:val="24"/>
        </w:rPr>
        <w:t>object</w:t>
      </w:r>
      <w:r>
        <w:rPr>
          <w:rFonts w:cs="Times New Roman"/>
          <w:szCs w:val="24"/>
        </w:rPr>
        <w:t xml:space="preserve"> that it seems to share in common. That is Supreme Being. Most African traditional religions tend to share a common</w:t>
      </w:r>
      <w:r>
        <w:t xml:space="preserve"> faith in the existence of a Supreme Being who is believed to be the Creator and Sustainer of the universe</w:t>
      </w:r>
      <w:r>
        <w:rPr>
          <w:rFonts w:cs="Times New Roman"/>
          <w:szCs w:val="24"/>
        </w:rPr>
        <w:t xml:space="preserve">. </w:t>
      </w:r>
      <w:r w:rsidR="00844EA1">
        <w:rPr>
          <w:rFonts w:cs="Times New Roman"/>
          <w:szCs w:val="24"/>
        </w:rPr>
        <w:lastRenderedPageBreak/>
        <w:t xml:space="preserve">For </w:t>
      </w:r>
      <w:r w:rsidR="00844EA1" w:rsidRPr="003F7CAE">
        <w:rPr>
          <w:rFonts w:cs="Times New Roman"/>
          <w:szCs w:val="24"/>
        </w:rPr>
        <w:t>all traditional religions</w:t>
      </w:r>
      <w:r w:rsidR="00844EA1">
        <w:rPr>
          <w:rFonts w:cs="Times New Roman"/>
          <w:szCs w:val="24"/>
        </w:rPr>
        <w:t>, they</w:t>
      </w:r>
      <w:r w:rsidR="00844EA1" w:rsidRPr="003F7CAE">
        <w:rPr>
          <w:rFonts w:cs="Times New Roman"/>
          <w:szCs w:val="24"/>
        </w:rPr>
        <w:t xml:space="preserve"> recognize </w:t>
      </w:r>
      <w:r w:rsidR="00844EA1">
        <w:rPr>
          <w:rFonts w:cs="Times New Roman"/>
          <w:szCs w:val="24"/>
        </w:rPr>
        <w:t xml:space="preserve">this Supreme Being as </w:t>
      </w:r>
      <w:r w:rsidR="00844EA1" w:rsidRPr="003F7CAE">
        <w:rPr>
          <w:rFonts w:cs="Times New Roman"/>
          <w:szCs w:val="24"/>
        </w:rPr>
        <w:t>a god of the sky.</w:t>
      </w:r>
      <w:r w:rsidR="00844EA1">
        <w:rPr>
          <w:rStyle w:val="FootnoteReference"/>
          <w:rFonts w:cs="Times New Roman"/>
          <w:szCs w:val="24"/>
        </w:rPr>
        <w:footnoteReference w:id="9"/>
      </w:r>
      <w:r w:rsidR="00844EA1" w:rsidRPr="003F7CAE">
        <w:rPr>
          <w:rFonts w:cs="Times New Roman"/>
          <w:szCs w:val="24"/>
        </w:rPr>
        <w:t xml:space="preserve"> </w:t>
      </w:r>
      <w:r>
        <w:rPr>
          <w:rFonts w:cs="Times New Roman"/>
          <w:szCs w:val="24"/>
        </w:rPr>
        <w:t xml:space="preserve">To give a few examples, the </w:t>
      </w:r>
      <w:r w:rsidR="00F76D7E" w:rsidRPr="003F7CAE">
        <w:rPr>
          <w:rFonts w:cs="Times New Roman"/>
          <w:szCs w:val="24"/>
        </w:rPr>
        <w:t xml:space="preserve">Agikuyu of </w:t>
      </w:r>
      <w:r w:rsidR="009212DD">
        <w:rPr>
          <w:rFonts w:cs="Times New Roman"/>
          <w:szCs w:val="24"/>
        </w:rPr>
        <w:t xml:space="preserve">Central </w:t>
      </w:r>
      <w:r w:rsidR="00F76D7E" w:rsidRPr="003F7CAE">
        <w:rPr>
          <w:rFonts w:cs="Times New Roman"/>
          <w:szCs w:val="24"/>
        </w:rPr>
        <w:t xml:space="preserve">Kenya claim that their God </w:t>
      </w:r>
      <w:r w:rsidR="00FF04EB">
        <w:rPr>
          <w:rFonts w:cs="Times New Roman"/>
          <w:szCs w:val="24"/>
        </w:rPr>
        <w:t xml:space="preserve">is called </w:t>
      </w:r>
      <w:r w:rsidR="00F76D7E" w:rsidRPr="003F7CAE">
        <w:rPr>
          <w:rFonts w:cs="Times New Roman"/>
          <w:szCs w:val="24"/>
        </w:rPr>
        <w:t>Ngai</w:t>
      </w:r>
      <w:r w:rsidR="00FF04EB">
        <w:rPr>
          <w:rFonts w:cs="Times New Roman"/>
          <w:szCs w:val="24"/>
        </w:rPr>
        <w:t>. Ngai is the</w:t>
      </w:r>
      <w:r w:rsidR="00FF04EB" w:rsidRPr="003F7CAE">
        <w:rPr>
          <w:rFonts w:cs="Times New Roman"/>
          <w:szCs w:val="24"/>
        </w:rPr>
        <w:t xml:space="preserve"> Creator and Provider</w:t>
      </w:r>
      <w:r w:rsidR="00FF04EB">
        <w:rPr>
          <w:rFonts w:cs="Times New Roman"/>
          <w:szCs w:val="24"/>
        </w:rPr>
        <w:t>. he</w:t>
      </w:r>
      <w:r w:rsidR="00F76D7E" w:rsidRPr="003F7CAE">
        <w:rPr>
          <w:rFonts w:cs="Times New Roman"/>
          <w:szCs w:val="24"/>
        </w:rPr>
        <w:t xml:space="preserve"> created their first parents at Mt Kirinyaga and gave them </w:t>
      </w:r>
      <w:r w:rsidR="00844EA1">
        <w:rPr>
          <w:rFonts w:cs="Times New Roman"/>
          <w:szCs w:val="24"/>
        </w:rPr>
        <w:t>all land to farm and till.</w:t>
      </w:r>
      <w:r w:rsidR="00F76D7E" w:rsidRPr="003F7CAE">
        <w:rPr>
          <w:rFonts w:cs="Times New Roman"/>
          <w:szCs w:val="24"/>
        </w:rPr>
        <w:t xml:space="preserve">. </w:t>
      </w:r>
      <w:r w:rsidR="009212DD">
        <w:rPr>
          <w:rFonts w:cs="Times New Roman"/>
          <w:szCs w:val="24"/>
        </w:rPr>
        <w:t xml:space="preserve">In terms of how he relates with the people, </w:t>
      </w:r>
      <w:r w:rsidR="00F76D7E" w:rsidRPr="003F7CAE">
        <w:rPr>
          <w:rFonts w:cs="Times New Roman"/>
          <w:szCs w:val="24"/>
        </w:rPr>
        <w:t>Ngai keeps his distance from the daily affairs of people</w:t>
      </w:r>
      <w:r w:rsidR="00FF04EB">
        <w:rPr>
          <w:rFonts w:cs="Times New Roman"/>
          <w:szCs w:val="24"/>
        </w:rPr>
        <w:t>. Oral traditions of the Agikuyu portend that he sh</w:t>
      </w:r>
      <w:r w:rsidR="00F76D7E" w:rsidRPr="003F7CAE">
        <w:rPr>
          <w:rFonts w:cs="Times New Roman"/>
          <w:szCs w:val="24"/>
        </w:rPr>
        <w:t>ould not be bothered needlessly by petty requests</w:t>
      </w:r>
      <w:r w:rsidR="00FF04EB">
        <w:rPr>
          <w:rFonts w:cs="Times New Roman"/>
          <w:szCs w:val="24"/>
        </w:rPr>
        <w:t xml:space="preserve"> nor</w:t>
      </w:r>
      <w:r w:rsidR="00F76D7E" w:rsidRPr="003F7CAE">
        <w:rPr>
          <w:rFonts w:cs="Times New Roman"/>
          <w:szCs w:val="24"/>
        </w:rPr>
        <w:t xml:space="preserve"> be approached directly by an individual.</w:t>
      </w:r>
      <w:r w:rsidR="00F76D7E" w:rsidRPr="003F7CAE">
        <w:rPr>
          <w:rStyle w:val="FootnoteReference"/>
          <w:rFonts w:cs="Times New Roman"/>
          <w:sz w:val="24"/>
          <w:szCs w:val="24"/>
        </w:rPr>
        <w:footnoteReference w:id="10"/>
      </w:r>
      <w:r w:rsidR="00F76D7E" w:rsidRPr="003F7CAE">
        <w:rPr>
          <w:rFonts w:cs="Times New Roman"/>
          <w:szCs w:val="24"/>
        </w:rPr>
        <w:t xml:space="preserve"> </w:t>
      </w:r>
      <w:r w:rsidR="005E07D6">
        <w:rPr>
          <w:rFonts w:cs="Times New Roman"/>
          <w:szCs w:val="24"/>
        </w:rPr>
        <w:t xml:space="preserve"> </w:t>
      </w:r>
      <w:r w:rsidR="00FF04EB">
        <w:rPr>
          <w:rFonts w:cs="Times New Roman"/>
          <w:szCs w:val="24"/>
        </w:rPr>
        <w:t xml:space="preserve">This explains why </w:t>
      </w:r>
      <w:r w:rsidR="005E07D6">
        <w:rPr>
          <w:rFonts w:cs="Times New Roman"/>
          <w:szCs w:val="24"/>
        </w:rPr>
        <w:t>Winfried Corduan appears,</w:t>
      </w:r>
      <w:r w:rsidR="005E07D6" w:rsidRPr="005E07D6">
        <w:rPr>
          <w:rFonts w:cs="Times New Roman"/>
          <w:szCs w:val="24"/>
        </w:rPr>
        <w:t xml:space="preserve"> perhaps unwittingly, to confirm the widespread notion that the African</w:t>
      </w:r>
      <w:r w:rsidR="005E07D6">
        <w:rPr>
          <w:rFonts w:cs="Times New Roman"/>
          <w:szCs w:val="24"/>
        </w:rPr>
        <w:t xml:space="preserve"> </w:t>
      </w:r>
      <w:r w:rsidR="005E07D6" w:rsidRPr="005E07D6">
        <w:rPr>
          <w:rFonts w:cs="Times New Roman"/>
          <w:szCs w:val="24"/>
        </w:rPr>
        <w:t xml:space="preserve">Supreme Being, after having created the world, withdrew from it. </w:t>
      </w:r>
    </w:p>
    <w:p w14:paraId="44AED519" w14:textId="7DC8A18A" w:rsidR="003D768F" w:rsidRDefault="006D6108" w:rsidP="00844EA1">
      <w:pPr>
        <w:ind w:firstLine="720"/>
        <w:rPr>
          <w:rFonts w:cs="Times New Roman"/>
          <w:szCs w:val="24"/>
        </w:rPr>
      </w:pPr>
      <w:r>
        <w:rPr>
          <w:rFonts w:cs="Times New Roman"/>
          <w:szCs w:val="24"/>
        </w:rPr>
        <w:t>Amongst</w:t>
      </w:r>
      <w:r w:rsidR="00844EA1">
        <w:rPr>
          <w:rFonts w:cs="Times New Roman"/>
          <w:szCs w:val="24"/>
        </w:rPr>
        <w:t xml:space="preserve"> t</w:t>
      </w:r>
      <w:r w:rsidR="005E07D6">
        <w:rPr>
          <w:rFonts w:cs="Times New Roman"/>
          <w:szCs w:val="24"/>
        </w:rPr>
        <w:t xml:space="preserve">he </w:t>
      </w:r>
      <w:r w:rsidR="00F76D7E" w:rsidRPr="003F7CAE">
        <w:rPr>
          <w:rFonts w:cs="Times New Roman"/>
          <w:szCs w:val="24"/>
        </w:rPr>
        <w:t xml:space="preserve">Maasai of </w:t>
      </w:r>
      <w:r w:rsidR="008551FD">
        <w:rPr>
          <w:rFonts w:cs="Times New Roman"/>
          <w:szCs w:val="24"/>
        </w:rPr>
        <w:t xml:space="preserve">Southern </w:t>
      </w:r>
      <w:r w:rsidR="00F76D7E" w:rsidRPr="003F7CAE">
        <w:rPr>
          <w:rFonts w:cs="Times New Roman"/>
          <w:szCs w:val="24"/>
        </w:rPr>
        <w:t xml:space="preserve">Kenya and </w:t>
      </w:r>
      <w:r w:rsidR="008551FD">
        <w:rPr>
          <w:rFonts w:cs="Times New Roman"/>
          <w:szCs w:val="24"/>
        </w:rPr>
        <w:t xml:space="preserve">Northern </w:t>
      </w:r>
      <w:r w:rsidR="00F76D7E" w:rsidRPr="003F7CAE">
        <w:rPr>
          <w:rFonts w:cs="Times New Roman"/>
          <w:szCs w:val="24"/>
        </w:rPr>
        <w:t>Tanzania</w:t>
      </w:r>
      <w:r w:rsidR="00FF04EB">
        <w:rPr>
          <w:rFonts w:cs="Times New Roman"/>
          <w:szCs w:val="24"/>
        </w:rPr>
        <w:t>,</w:t>
      </w:r>
      <w:r w:rsidR="00F76D7E" w:rsidRPr="003F7CAE">
        <w:rPr>
          <w:rFonts w:cs="Times New Roman"/>
          <w:szCs w:val="24"/>
        </w:rPr>
        <w:t xml:space="preserve"> </w:t>
      </w:r>
      <w:r w:rsidR="00BB22E1" w:rsidRPr="003F7CAE">
        <w:rPr>
          <w:rFonts w:cs="Times New Roman"/>
          <w:szCs w:val="24"/>
        </w:rPr>
        <w:t>their</w:t>
      </w:r>
      <w:r w:rsidR="00F76D7E" w:rsidRPr="003F7CAE">
        <w:rPr>
          <w:rFonts w:cs="Times New Roman"/>
          <w:szCs w:val="24"/>
        </w:rPr>
        <w:t xml:space="preserve"> </w:t>
      </w:r>
      <w:r w:rsidR="00BB22E1" w:rsidRPr="003F7CAE">
        <w:rPr>
          <w:rFonts w:cs="Times New Roman"/>
          <w:szCs w:val="24"/>
        </w:rPr>
        <w:t xml:space="preserve">god </w:t>
      </w:r>
      <w:r w:rsidR="00844EA1">
        <w:rPr>
          <w:rFonts w:cs="Times New Roman"/>
          <w:szCs w:val="24"/>
        </w:rPr>
        <w:t xml:space="preserve">Enkai </w:t>
      </w:r>
      <w:r w:rsidR="008551FD">
        <w:rPr>
          <w:rFonts w:cs="Times New Roman"/>
          <w:szCs w:val="24"/>
        </w:rPr>
        <w:t xml:space="preserve">means </w:t>
      </w:r>
      <w:r w:rsidR="006E6E68" w:rsidRPr="003F7CAE">
        <w:rPr>
          <w:rFonts w:cs="Times New Roman"/>
          <w:szCs w:val="24"/>
        </w:rPr>
        <w:t>rain or sky.</w:t>
      </w:r>
      <w:r w:rsidR="00811E3D">
        <w:rPr>
          <w:rFonts w:cs="Times New Roman"/>
          <w:szCs w:val="24"/>
        </w:rPr>
        <w:t xml:space="preserve"> </w:t>
      </w:r>
      <w:r w:rsidR="005E07D6" w:rsidRPr="003F7CAE">
        <w:rPr>
          <w:rFonts w:cs="Times New Roman"/>
          <w:szCs w:val="24"/>
        </w:rPr>
        <w:t>Enkai</w:t>
      </w:r>
      <w:r w:rsidR="005E07D6">
        <w:rPr>
          <w:rFonts w:cs="Times New Roman"/>
          <w:szCs w:val="24"/>
        </w:rPr>
        <w:t xml:space="preserve"> is a creator god who</w:t>
      </w:r>
      <w:r w:rsidR="005E07D6" w:rsidRPr="003F7CAE">
        <w:rPr>
          <w:rFonts w:cs="Times New Roman"/>
          <w:szCs w:val="24"/>
        </w:rPr>
        <w:t xml:space="preserve"> has placed all the cattle under </w:t>
      </w:r>
      <w:r w:rsidR="005E07D6">
        <w:rPr>
          <w:rFonts w:cs="Times New Roman"/>
          <w:szCs w:val="24"/>
        </w:rPr>
        <w:t>the ownership of Maasais</w:t>
      </w:r>
      <w:r w:rsidR="005E07D6" w:rsidRPr="003F7CAE">
        <w:rPr>
          <w:rFonts w:cs="Times New Roman"/>
          <w:szCs w:val="24"/>
        </w:rPr>
        <w:t xml:space="preserve">. </w:t>
      </w:r>
      <w:r w:rsidR="00811E3D">
        <w:rPr>
          <w:rFonts w:cs="Times New Roman"/>
          <w:szCs w:val="24"/>
        </w:rPr>
        <w:t>David Westerlund</w:t>
      </w:r>
      <w:r w:rsidR="009212DD">
        <w:rPr>
          <w:rFonts w:cs="Times New Roman"/>
          <w:szCs w:val="24"/>
        </w:rPr>
        <w:t xml:space="preserve">, </w:t>
      </w:r>
      <w:r w:rsidR="009212DD" w:rsidRPr="003F7CAE">
        <w:rPr>
          <w:rFonts w:cs="Times New Roman"/>
          <w:szCs w:val="24"/>
        </w:rPr>
        <w:t>a highly respected international expert in the history of religions</w:t>
      </w:r>
      <w:r w:rsidR="00811E3D">
        <w:rPr>
          <w:rFonts w:cs="Times New Roman"/>
          <w:szCs w:val="24"/>
        </w:rPr>
        <w:t xml:space="preserve"> </w:t>
      </w:r>
      <w:r w:rsidR="002573B7">
        <w:rPr>
          <w:rFonts w:cs="Times New Roman"/>
          <w:szCs w:val="24"/>
        </w:rPr>
        <w:t>qualifies th</w:t>
      </w:r>
      <w:r w:rsidR="005E07D6">
        <w:rPr>
          <w:rFonts w:cs="Times New Roman"/>
          <w:szCs w:val="24"/>
        </w:rPr>
        <w:t>is</w:t>
      </w:r>
      <w:r w:rsidR="002573B7">
        <w:rPr>
          <w:rFonts w:cs="Times New Roman"/>
          <w:szCs w:val="24"/>
        </w:rPr>
        <w:t xml:space="preserve"> belief in a Supreme being by arguing</w:t>
      </w:r>
      <w:r w:rsidR="00811E3D">
        <w:rPr>
          <w:rFonts w:cs="Times New Roman"/>
          <w:szCs w:val="24"/>
        </w:rPr>
        <w:t xml:space="preserve"> that although </w:t>
      </w:r>
      <w:r w:rsidR="002573B7">
        <w:rPr>
          <w:rFonts w:cs="Times New Roman"/>
          <w:szCs w:val="24"/>
        </w:rPr>
        <w:t xml:space="preserve">not all Maasais believe in </w:t>
      </w:r>
      <w:r w:rsidR="00811E3D">
        <w:rPr>
          <w:rFonts w:cs="Times New Roman"/>
          <w:szCs w:val="24"/>
        </w:rPr>
        <w:t>the</w:t>
      </w:r>
      <w:r w:rsidR="00811E3D" w:rsidRPr="00811E3D">
        <w:rPr>
          <w:rFonts w:cs="Times New Roman"/>
          <w:szCs w:val="24"/>
        </w:rPr>
        <w:t xml:space="preserve"> Supreme Being nonetheless</w:t>
      </w:r>
      <w:r w:rsidR="002573B7">
        <w:rPr>
          <w:rFonts w:cs="Times New Roman"/>
          <w:szCs w:val="24"/>
        </w:rPr>
        <w:t>,</w:t>
      </w:r>
      <w:r w:rsidR="00811E3D" w:rsidRPr="00811E3D">
        <w:rPr>
          <w:rFonts w:cs="Times New Roman"/>
          <w:szCs w:val="24"/>
        </w:rPr>
        <w:t xml:space="preserve"> </w:t>
      </w:r>
      <w:r w:rsidR="005E07D6" w:rsidRPr="00811E3D">
        <w:rPr>
          <w:rFonts w:cs="Times New Roman"/>
          <w:szCs w:val="24"/>
        </w:rPr>
        <w:t>“God</w:t>
      </w:r>
      <w:r w:rsidR="00811E3D" w:rsidRPr="00811E3D">
        <w:rPr>
          <w:rFonts w:cs="Times New Roman"/>
          <w:szCs w:val="24"/>
        </w:rPr>
        <w:t xml:space="preserve"> is associated particularly with the heavenly realm, yet</w:t>
      </w:r>
      <w:r w:rsidR="00811E3D">
        <w:rPr>
          <w:rFonts w:cs="Times New Roman"/>
          <w:szCs w:val="24"/>
        </w:rPr>
        <w:t xml:space="preserve"> </w:t>
      </w:r>
      <w:r w:rsidR="00811E3D" w:rsidRPr="00811E3D">
        <w:rPr>
          <w:rFonts w:cs="Times New Roman"/>
          <w:szCs w:val="24"/>
        </w:rPr>
        <w:t>he is not ident</w:t>
      </w:r>
      <w:r w:rsidR="00811E3D">
        <w:rPr>
          <w:rFonts w:cs="Times New Roman"/>
          <w:szCs w:val="24"/>
        </w:rPr>
        <w:t>i</w:t>
      </w:r>
      <w:r w:rsidR="00811E3D" w:rsidRPr="00811E3D">
        <w:rPr>
          <w:rFonts w:cs="Times New Roman"/>
          <w:szCs w:val="24"/>
        </w:rPr>
        <w:t>fied with it. He may also be said to be omnipresent</w:t>
      </w:r>
      <w:r w:rsidR="002573B7">
        <w:rPr>
          <w:rFonts w:cs="Times New Roman"/>
          <w:szCs w:val="24"/>
        </w:rPr>
        <w:t>.”</w:t>
      </w:r>
      <w:r w:rsidR="002573B7">
        <w:rPr>
          <w:rStyle w:val="FootnoteReference"/>
          <w:rFonts w:cs="Times New Roman"/>
          <w:szCs w:val="24"/>
        </w:rPr>
        <w:footnoteReference w:id="11"/>
      </w:r>
    </w:p>
    <w:p w14:paraId="0E7C8059" w14:textId="4A48BA01" w:rsidR="008551FD" w:rsidRPr="003F7CAE" w:rsidRDefault="008551FD" w:rsidP="00844EA1">
      <w:pPr>
        <w:ind w:firstLine="720"/>
        <w:rPr>
          <w:rFonts w:cs="Times New Roman"/>
          <w:szCs w:val="24"/>
        </w:rPr>
      </w:pPr>
      <w:r>
        <w:rPr>
          <w:rFonts w:cs="Times New Roman"/>
          <w:szCs w:val="24"/>
        </w:rPr>
        <w:t xml:space="preserve">Amongst the San people of West Africa, the name of their god also suggests heavenly beings and describes God as a creator. </w:t>
      </w:r>
      <w:r>
        <w:t xml:space="preserve">Amongst the Kongo people of the Democratic Republic of Congo, Westerlund notes that the name of the Supreme Being or God the creator is Nzambi. </w:t>
      </w:r>
      <w:r w:rsidR="00FF04EB">
        <w:t>Nzambi</w:t>
      </w:r>
      <w:r>
        <w:t xml:space="preserve"> signifies someone who is higher, stronger, more powerful than other beings; it also denotes something incomprehensible and mysterious, or, in short, divine.</w:t>
      </w:r>
      <w:r>
        <w:rPr>
          <w:rStyle w:val="FootnoteReference"/>
        </w:rPr>
        <w:footnoteReference w:id="12"/>
      </w:r>
      <w:r>
        <w:t xml:space="preserve"> And, of course, following the many studies on the Yoruba, Corduan observes that the</w:t>
      </w:r>
      <w:r w:rsidR="006D6108" w:rsidRPr="006D6108">
        <w:t xml:space="preserve"> highest original God for </w:t>
      </w:r>
      <w:r w:rsidR="006D6108" w:rsidRPr="006D6108">
        <w:lastRenderedPageBreak/>
        <w:t>the Yoruba is Olorun</w:t>
      </w:r>
      <w:r w:rsidR="00FF04EB">
        <w:t>,</w:t>
      </w:r>
      <w:r w:rsidR="009B52AF">
        <w:t xml:space="preserve"> </w:t>
      </w:r>
      <w:r w:rsidR="009B52AF" w:rsidRPr="009B52AF">
        <w:t>a term that simply means “owner of the sky</w:t>
      </w:r>
      <w:r>
        <w:t>.</w:t>
      </w:r>
      <w:r w:rsidR="006D6108">
        <w:rPr>
          <w:rStyle w:val="FootnoteReference"/>
        </w:rPr>
        <w:footnoteReference w:id="13"/>
      </w:r>
      <w:r>
        <w:t xml:space="preserve">  Litera</w:t>
      </w:r>
      <w:r w:rsidR="00FF04EB">
        <w:t>lly</w:t>
      </w:r>
      <w:r>
        <w:t xml:space="preserve">, </w:t>
      </w:r>
      <w:r w:rsidR="009B52AF">
        <w:t>this name</w:t>
      </w:r>
      <w:r>
        <w:t xml:space="preserve"> point</w:t>
      </w:r>
      <w:r w:rsidR="009B52AF">
        <w:t>s</w:t>
      </w:r>
      <w:r>
        <w:t xml:space="preserve"> to the Yoruba belief that God is Creator, the Supreme Being who is immortal and unchanging.</w:t>
      </w:r>
      <w:r>
        <w:rPr>
          <w:rStyle w:val="FootnoteReference"/>
        </w:rPr>
        <w:footnoteReference w:id="14"/>
      </w:r>
      <w:r>
        <w:t xml:space="preserve"> Overall</w:t>
      </w:r>
      <w:r w:rsidR="009212DD">
        <w:t>,</w:t>
      </w:r>
      <w:r>
        <w:t xml:space="preserve"> this again suggest that various names used to designate the Supreme Being normally are associated with the sky.</w:t>
      </w:r>
    </w:p>
    <w:p w14:paraId="5EA047D5" w14:textId="739655EC" w:rsidR="00232FDA" w:rsidRPr="003F7CAE" w:rsidRDefault="00232FDA" w:rsidP="001F4B75">
      <w:pPr>
        <w:pStyle w:val="Heading3"/>
        <w:jc w:val="center"/>
        <w:rPr>
          <w:rFonts w:ascii="Times New Roman" w:hAnsi="Times New Roman" w:cs="Times New Roman"/>
          <w:color w:val="auto"/>
        </w:rPr>
      </w:pPr>
      <w:bookmarkStart w:id="27" w:name="_Toc80073304"/>
      <w:r w:rsidRPr="003F7CAE">
        <w:rPr>
          <w:rFonts w:ascii="Times New Roman" w:hAnsi="Times New Roman" w:cs="Times New Roman"/>
          <w:color w:val="auto"/>
        </w:rPr>
        <w:t>Ancestors</w:t>
      </w:r>
      <w:bookmarkEnd w:id="27"/>
    </w:p>
    <w:p w14:paraId="7E3250EC" w14:textId="53FC9FAB" w:rsidR="006F107A" w:rsidRPr="006F107A" w:rsidRDefault="006E6E68" w:rsidP="006F107A">
      <w:pPr>
        <w:ind w:firstLine="720"/>
        <w:rPr>
          <w:rFonts w:cs="Times New Roman"/>
          <w:szCs w:val="24"/>
          <w:vertAlign w:val="superscript"/>
        </w:rPr>
      </w:pPr>
      <w:r w:rsidRPr="003F7CAE">
        <w:rPr>
          <w:rFonts w:cs="Times New Roman"/>
          <w:szCs w:val="24"/>
        </w:rPr>
        <w:t xml:space="preserve">Apart from recognizing the </w:t>
      </w:r>
      <w:r w:rsidR="00D87AF3" w:rsidRPr="003F7CAE">
        <w:rPr>
          <w:rFonts w:cs="Times New Roman"/>
          <w:szCs w:val="24"/>
        </w:rPr>
        <w:t>Supreme Being</w:t>
      </w:r>
      <w:r w:rsidRPr="003F7CAE">
        <w:rPr>
          <w:rFonts w:cs="Times New Roman"/>
          <w:szCs w:val="24"/>
        </w:rPr>
        <w:t xml:space="preserve">, ATR </w:t>
      </w:r>
      <w:r w:rsidR="00D87AF3" w:rsidRPr="003F7CAE">
        <w:rPr>
          <w:rFonts w:cs="Times New Roman"/>
          <w:szCs w:val="24"/>
        </w:rPr>
        <w:t>venerates</w:t>
      </w:r>
      <w:r w:rsidRPr="003F7CAE">
        <w:rPr>
          <w:rFonts w:cs="Times New Roman"/>
          <w:szCs w:val="24"/>
        </w:rPr>
        <w:t xml:space="preserve"> other spiritual beings, namely ancestor</w:t>
      </w:r>
      <w:r w:rsidR="00B2530F" w:rsidRPr="003F7CAE">
        <w:rPr>
          <w:rFonts w:cs="Times New Roman"/>
          <w:szCs w:val="24"/>
        </w:rPr>
        <w:t>s</w:t>
      </w:r>
      <w:r w:rsidRPr="003F7CAE">
        <w:rPr>
          <w:rFonts w:cs="Times New Roman"/>
          <w:szCs w:val="24"/>
        </w:rPr>
        <w:t>.</w:t>
      </w:r>
      <w:r w:rsidR="00B2530F" w:rsidRPr="003F7CAE">
        <w:rPr>
          <w:rFonts w:cs="Times New Roman"/>
          <w:szCs w:val="24"/>
        </w:rPr>
        <w:t xml:space="preserve"> </w:t>
      </w:r>
      <w:r w:rsidR="006F107A">
        <w:rPr>
          <w:rFonts w:cs="Times New Roman"/>
          <w:szCs w:val="24"/>
        </w:rPr>
        <w:t>A contemporary understanding of the word ancestor refers to a dead person, long gone. In the ATR context however, t</w:t>
      </w:r>
      <w:r w:rsidR="006F107A" w:rsidRPr="003F7CAE">
        <w:rPr>
          <w:rFonts w:cs="Times New Roman"/>
          <w:szCs w:val="24"/>
        </w:rPr>
        <w:t xml:space="preserve">he term </w:t>
      </w:r>
      <w:r w:rsidR="006F107A" w:rsidRPr="003F7CAE">
        <w:rPr>
          <w:rFonts w:cs="Times New Roman"/>
          <w:i/>
          <w:iCs/>
          <w:szCs w:val="24"/>
        </w:rPr>
        <w:t>Ancestor</w:t>
      </w:r>
      <w:r w:rsidR="006F107A" w:rsidRPr="003F7CAE">
        <w:rPr>
          <w:rFonts w:cs="Times New Roman"/>
          <w:szCs w:val="24"/>
        </w:rPr>
        <w:t xml:space="preserve"> </w:t>
      </w:r>
      <w:r w:rsidR="006F107A">
        <w:rPr>
          <w:rFonts w:cs="Times New Roman"/>
          <w:szCs w:val="24"/>
        </w:rPr>
        <w:t xml:space="preserve">refers to dead but still living people. </w:t>
      </w:r>
      <w:r w:rsidR="006F107A" w:rsidRPr="003F7CAE">
        <w:rPr>
          <w:rFonts w:cs="Times New Roman"/>
          <w:szCs w:val="24"/>
        </w:rPr>
        <w:t>Th</w:t>
      </w:r>
      <w:r w:rsidR="006F107A">
        <w:rPr>
          <w:rFonts w:cs="Times New Roman"/>
          <w:szCs w:val="24"/>
        </w:rPr>
        <w:t>us, th</w:t>
      </w:r>
      <w:r w:rsidR="006F107A" w:rsidRPr="003F7CAE">
        <w:rPr>
          <w:rFonts w:cs="Times New Roman"/>
          <w:szCs w:val="24"/>
        </w:rPr>
        <w:t xml:space="preserve">e term </w:t>
      </w:r>
      <w:r w:rsidR="006F107A" w:rsidRPr="003F7CAE">
        <w:rPr>
          <w:rFonts w:cs="Times New Roman"/>
          <w:i/>
          <w:iCs/>
          <w:szCs w:val="24"/>
        </w:rPr>
        <w:t>Ancestor</w:t>
      </w:r>
      <w:r w:rsidR="006F107A" w:rsidRPr="003F7CAE">
        <w:rPr>
          <w:rFonts w:cs="Times New Roman"/>
          <w:szCs w:val="24"/>
        </w:rPr>
        <w:t xml:space="preserve"> in th</w:t>
      </w:r>
      <w:r w:rsidR="006F107A">
        <w:rPr>
          <w:rFonts w:cs="Times New Roman"/>
          <w:szCs w:val="24"/>
        </w:rPr>
        <w:t xml:space="preserve">is context </w:t>
      </w:r>
      <w:r w:rsidR="00A67412">
        <w:rPr>
          <w:rFonts w:cs="Times New Roman"/>
          <w:szCs w:val="24"/>
        </w:rPr>
        <w:t xml:space="preserve">would not make sense unless it was </w:t>
      </w:r>
      <w:r w:rsidR="006F107A" w:rsidRPr="003F7CAE">
        <w:rPr>
          <w:rFonts w:cs="Times New Roman"/>
          <w:szCs w:val="24"/>
        </w:rPr>
        <w:t xml:space="preserve">replaced with </w:t>
      </w:r>
      <w:r w:rsidR="006F107A" w:rsidRPr="003F7CAE">
        <w:rPr>
          <w:rFonts w:cs="Times New Roman"/>
          <w:i/>
          <w:iCs/>
          <w:szCs w:val="24"/>
        </w:rPr>
        <w:t>living/dead</w:t>
      </w:r>
      <w:r w:rsidR="00A67412">
        <w:rPr>
          <w:rFonts w:cs="Times New Roman"/>
          <w:szCs w:val="24"/>
        </w:rPr>
        <w:t xml:space="preserve"> kind of meaning. </w:t>
      </w:r>
      <w:r w:rsidR="006F107A">
        <w:rPr>
          <w:rFonts w:cs="Times New Roman"/>
          <w:szCs w:val="24"/>
        </w:rPr>
        <w:t>In using the term living</w:t>
      </w:r>
      <w:r w:rsidR="009954FD">
        <w:rPr>
          <w:rFonts w:cs="Times New Roman"/>
          <w:szCs w:val="24"/>
        </w:rPr>
        <w:t xml:space="preserve"> </w:t>
      </w:r>
      <w:r w:rsidR="006F107A">
        <w:rPr>
          <w:rFonts w:cs="Times New Roman"/>
          <w:szCs w:val="24"/>
        </w:rPr>
        <w:t>dead in place of ancestors, it helps</w:t>
      </w:r>
      <w:r w:rsidR="006F107A" w:rsidRPr="003F7CAE">
        <w:rPr>
          <w:rFonts w:cs="Times New Roman"/>
          <w:szCs w:val="24"/>
        </w:rPr>
        <w:t xml:space="preserve"> clarif</w:t>
      </w:r>
      <w:r w:rsidR="006F107A">
        <w:rPr>
          <w:rFonts w:cs="Times New Roman"/>
          <w:szCs w:val="24"/>
        </w:rPr>
        <w:t>y</w:t>
      </w:r>
      <w:r w:rsidR="006F107A" w:rsidRPr="003F7CAE">
        <w:rPr>
          <w:rFonts w:cs="Times New Roman"/>
          <w:szCs w:val="24"/>
        </w:rPr>
        <w:t xml:space="preserve"> the idea that even though </w:t>
      </w:r>
      <w:r w:rsidR="00A67412">
        <w:rPr>
          <w:rFonts w:cs="Times New Roman"/>
          <w:szCs w:val="24"/>
        </w:rPr>
        <w:t>ancestors</w:t>
      </w:r>
      <w:r w:rsidR="006F107A" w:rsidRPr="003F7CAE">
        <w:rPr>
          <w:rFonts w:cs="Times New Roman"/>
          <w:szCs w:val="24"/>
        </w:rPr>
        <w:t xml:space="preserve"> are dead, they are considered to be a continuing, living presence in the community.</w:t>
      </w:r>
      <w:r w:rsidR="006F107A" w:rsidRPr="003F7CAE">
        <w:rPr>
          <w:rStyle w:val="FootnoteReference"/>
          <w:rFonts w:cs="Times New Roman"/>
          <w:sz w:val="24"/>
          <w:szCs w:val="24"/>
        </w:rPr>
        <w:footnoteReference w:id="15"/>
      </w:r>
    </w:p>
    <w:p w14:paraId="7B807522" w14:textId="4558D83D" w:rsidR="00D90464" w:rsidRDefault="00126555" w:rsidP="00FD5117">
      <w:pPr>
        <w:ind w:firstLine="720"/>
        <w:rPr>
          <w:rFonts w:cs="Times New Roman"/>
          <w:szCs w:val="24"/>
        </w:rPr>
      </w:pPr>
      <w:r>
        <w:rPr>
          <w:rFonts w:cs="Times New Roman"/>
          <w:szCs w:val="24"/>
        </w:rPr>
        <w:t>A good chunk of scholars holds the view that ancestor</w:t>
      </w:r>
      <w:r w:rsidR="00A67412">
        <w:rPr>
          <w:rFonts w:cs="Times New Roman"/>
          <w:szCs w:val="24"/>
        </w:rPr>
        <w:t xml:space="preserve"> spirits in the ATR context</w:t>
      </w:r>
      <w:r>
        <w:rPr>
          <w:rFonts w:cs="Times New Roman"/>
          <w:szCs w:val="24"/>
        </w:rPr>
        <w:t xml:space="preserve"> tend to get more recognition than the other supernatural beings. </w:t>
      </w:r>
      <w:r w:rsidR="00A67412">
        <w:rPr>
          <w:rFonts w:cs="Times New Roman"/>
          <w:szCs w:val="24"/>
        </w:rPr>
        <w:t>Winfried Corduan appears to agree when he says</w:t>
      </w:r>
      <w:r>
        <w:rPr>
          <w:rFonts w:cs="Times New Roman"/>
          <w:szCs w:val="24"/>
        </w:rPr>
        <w:t xml:space="preserve">, </w:t>
      </w:r>
      <w:r w:rsidR="002573B7">
        <w:rPr>
          <w:rFonts w:cs="Times New Roman"/>
          <w:szCs w:val="24"/>
        </w:rPr>
        <w:t>“</w:t>
      </w:r>
      <w:r w:rsidR="00811E3D" w:rsidRPr="00811E3D">
        <w:rPr>
          <w:rFonts w:cs="Times New Roman"/>
          <w:szCs w:val="24"/>
        </w:rPr>
        <w:t>Of the two types of spirits usually present in animistic religion, nature spirits and ancestor spirits, it is the ancestors who receive the most attention in ATR.</w:t>
      </w:r>
      <w:r w:rsidR="00D90464">
        <w:rPr>
          <w:rFonts w:cs="Times New Roman"/>
          <w:szCs w:val="24"/>
        </w:rPr>
        <w:t xml:space="preserve">  A good example </w:t>
      </w:r>
      <w:r w:rsidR="00FE1AB8">
        <w:rPr>
          <w:rFonts w:cs="Times New Roman"/>
          <w:szCs w:val="24"/>
        </w:rPr>
        <w:t>is</w:t>
      </w:r>
      <w:r w:rsidR="00D90464">
        <w:rPr>
          <w:rFonts w:cs="Times New Roman"/>
          <w:szCs w:val="24"/>
        </w:rPr>
        <w:t xml:space="preserve"> the Sukuma of Western Tanzania,</w:t>
      </w:r>
      <w:r w:rsidR="00D90464" w:rsidRPr="009212DD">
        <w:t xml:space="preserve"> </w:t>
      </w:r>
      <w:r w:rsidR="00D90464">
        <w:t>who are a Bantu speaking people. The Sukuma are known allover for placing a heavy emphasis on ancestors.</w:t>
      </w:r>
      <w:r w:rsidR="00D90464">
        <w:rPr>
          <w:rStyle w:val="FootnoteReference"/>
        </w:rPr>
        <w:footnoteReference w:id="16"/>
      </w:r>
      <w:r w:rsidR="00D90464">
        <w:rPr>
          <w:rFonts w:cs="Times New Roman"/>
          <w:szCs w:val="24"/>
        </w:rPr>
        <w:t xml:space="preserve"> </w:t>
      </w:r>
      <w:r w:rsidR="00811E3D" w:rsidRPr="00811E3D">
        <w:rPr>
          <w:rFonts w:cs="Times New Roman"/>
          <w:szCs w:val="24"/>
        </w:rPr>
        <w:t xml:space="preserve"> </w:t>
      </w:r>
      <w:r w:rsidR="00D90464">
        <w:rPr>
          <w:rFonts w:cs="Times New Roman"/>
          <w:szCs w:val="24"/>
        </w:rPr>
        <w:t>Why is that so?</w:t>
      </w:r>
    </w:p>
    <w:p w14:paraId="46583BCA" w14:textId="2C510C32" w:rsidR="006F107A" w:rsidRDefault="009954FD" w:rsidP="00FD5117">
      <w:pPr>
        <w:ind w:firstLine="720"/>
        <w:rPr>
          <w:rFonts w:cs="Times New Roman"/>
          <w:szCs w:val="24"/>
        </w:rPr>
      </w:pPr>
      <w:r>
        <w:rPr>
          <w:rFonts w:cs="Times New Roman"/>
          <w:szCs w:val="24"/>
        </w:rPr>
        <w:lastRenderedPageBreak/>
        <w:t>One of the reasons could be that</w:t>
      </w:r>
      <w:r w:rsidR="00D90464">
        <w:rPr>
          <w:rFonts w:cs="Times New Roman"/>
          <w:szCs w:val="24"/>
        </w:rPr>
        <w:t xml:space="preserve"> the Sukuma recognize ancestor spirits above the other supernatural beings. In </w:t>
      </w:r>
      <w:r w:rsidR="00126555" w:rsidRPr="003F7CAE">
        <w:rPr>
          <w:rFonts w:cs="Times New Roman"/>
          <w:szCs w:val="24"/>
        </w:rPr>
        <w:t>David Westerlund</w:t>
      </w:r>
      <w:r w:rsidR="00D90464">
        <w:rPr>
          <w:rFonts w:cs="Times New Roman"/>
          <w:szCs w:val="24"/>
        </w:rPr>
        <w:t xml:space="preserve"> explanation, he</w:t>
      </w:r>
      <w:r w:rsidR="00FD5117">
        <w:rPr>
          <w:rFonts w:cs="Times New Roman"/>
          <w:szCs w:val="24"/>
        </w:rPr>
        <w:t xml:space="preserve"> feels that just because they make </w:t>
      </w:r>
      <w:r w:rsidR="00D90464">
        <w:rPr>
          <w:rFonts w:cs="Times New Roman"/>
          <w:szCs w:val="24"/>
        </w:rPr>
        <w:t>an ATR emphasis on ancestors’ spirits</w:t>
      </w:r>
      <w:r w:rsidR="00FD5117">
        <w:rPr>
          <w:rFonts w:cs="Times New Roman"/>
          <w:szCs w:val="24"/>
        </w:rPr>
        <w:t xml:space="preserve"> does not mean that they do not worship</w:t>
      </w:r>
      <w:r w:rsidR="00D90464">
        <w:rPr>
          <w:rFonts w:cs="Times New Roman"/>
          <w:szCs w:val="24"/>
        </w:rPr>
        <w:t xml:space="preserve"> for example the Supreme Being. Rather he says, it is possible </w:t>
      </w:r>
      <w:r w:rsidR="00FD5117">
        <w:rPr>
          <w:rFonts w:cs="Times New Roman"/>
          <w:szCs w:val="24"/>
        </w:rPr>
        <w:t>when</w:t>
      </w:r>
      <w:r w:rsidR="00126555" w:rsidRPr="003F7CAE">
        <w:rPr>
          <w:rFonts w:cs="Times New Roman"/>
          <w:szCs w:val="24"/>
        </w:rPr>
        <w:t xml:space="preserve"> people invoke ancestors, they often invoke God as well.</w:t>
      </w:r>
      <w:r w:rsidR="00126555" w:rsidRPr="003F7CAE">
        <w:rPr>
          <w:rStyle w:val="FootnoteReference"/>
          <w:rFonts w:cs="Times New Roman"/>
          <w:sz w:val="24"/>
          <w:szCs w:val="24"/>
        </w:rPr>
        <w:t>”</w:t>
      </w:r>
      <w:r w:rsidR="00126555" w:rsidRPr="003F7CAE">
        <w:rPr>
          <w:rStyle w:val="FootnoteReference"/>
          <w:rFonts w:cs="Times New Roman"/>
          <w:sz w:val="24"/>
          <w:szCs w:val="24"/>
        </w:rPr>
        <w:footnoteReference w:id="17"/>
      </w:r>
      <w:r w:rsidR="00FD5117">
        <w:rPr>
          <w:rStyle w:val="FootnoteReference"/>
          <w:rFonts w:cs="Times New Roman"/>
          <w:sz w:val="24"/>
          <w:szCs w:val="24"/>
        </w:rPr>
        <w:t xml:space="preserve"> </w:t>
      </w:r>
      <w:r w:rsidR="00FD5117">
        <w:rPr>
          <w:rFonts w:cs="Times New Roman"/>
          <w:szCs w:val="24"/>
        </w:rPr>
        <w:t xml:space="preserve">Winfried Corduan however, has a different explanation. </w:t>
      </w:r>
      <w:r w:rsidR="006F107A">
        <w:rPr>
          <w:rFonts w:cs="Times New Roman"/>
          <w:szCs w:val="24"/>
        </w:rPr>
        <w:t>He argues</w:t>
      </w:r>
      <w:r w:rsidR="00FD5117">
        <w:rPr>
          <w:rFonts w:cs="Times New Roman"/>
          <w:szCs w:val="24"/>
        </w:rPr>
        <w:t xml:space="preserve"> that what </w:t>
      </w:r>
      <w:r w:rsidR="00FD5117" w:rsidRPr="00FD5117">
        <w:rPr>
          <w:rFonts w:cs="Times New Roman"/>
          <w:szCs w:val="24"/>
        </w:rPr>
        <w:t>characterizes the attitude of the living toward ancestor spirits is fear</w:t>
      </w:r>
      <w:r w:rsidR="00126555" w:rsidRPr="003F7CAE">
        <w:rPr>
          <w:rFonts w:cs="Times New Roman"/>
          <w:szCs w:val="24"/>
        </w:rPr>
        <w:t>.</w:t>
      </w:r>
      <w:r w:rsidR="00FD5117">
        <w:rPr>
          <w:rStyle w:val="FootnoteReference"/>
          <w:rFonts w:cs="Times New Roman"/>
          <w:szCs w:val="24"/>
        </w:rPr>
        <w:footnoteReference w:id="18"/>
      </w:r>
      <w:r w:rsidR="00126555" w:rsidRPr="003F7CAE">
        <w:rPr>
          <w:rFonts w:cs="Times New Roman"/>
          <w:szCs w:val="24"/>
        </w:rPr>
        <w:t xml:space="preserve"> </w:t>
      </w:r>
      <w:r w:rsidR="00D90464">
        <w:rPr>
          <w:rFonts w:cs="Times New Roman"/>
          <w:szCs w:val="24"/>
        </w:rPr>
        <w:t>Fear is what makes many ATR communities give more emphasi</w:t>
      </w:r>
      <w:r>
        <w:rPr>
          <w:rFonts w:cs="Times New Roman"/>
          <w:szCs w:val="24"/>
        </w:rPr>
        <w:t>s to ancestral spirits.</w:t>
      </w:r>
      <w:r w:rsidR="00D90464">
        <w:rPr>
          <w:rFonts w:cs="Times New Roman"/>
          <w:szCs w:val="24"/>
        </w:rPr>
        <w:t xml:space="preserve">  Corduan further posits, “</w:t>
      </w:r>
      <w:r w:rsidR="00FD5117" w:rsidRPr="00FD5117">
        <w:rPr>
          <w:rFonts w:cs="Times New Roman"/>
          <w:szCs w:val="24"/>
        </w:rPr>
        <w:t>Most Africans living in the context of ATR exist in perpetual fear of what the ancestors may do or demand</w:t>
      </w:r>
      <w:r w:rsidR="006F107A">
        <w:rPr>
          <w:rFonts w:cs="Times New Roman"/>
          <w:szCs w:val="24"/>
        </w:rPr>
        <w:t>.</w:t>
      </w:r>
      <w:r w:rsidR="00D90464">
        <w:rPr>
          <w:rFonts w:cs="Times New Roman"/>
          <w:szCs w:val="24"/>
        </w:rPr>
        <w:t>”</w:t>
      </w:r>
      <w:r w:rsidR="006F107A">
        <w:rPr>
          <w:rStyle w:val="FootnoteReference"/>
          <w:rFonts w:cs="Times New Roman"/>
          <w:szCs w:val="24"/>
        </w:rPr>
        <w:footnoteReference w:id="19"/>
      </w:r>
      <w:r w:rsidR="006F107A">
        <w:rPr>
          <w:rFonts w:cs="Times New Roman"/>
          <w:szCs w:val="24"/>
        </w:rPr>
        <w:t xml:space="preserve"> </w:t>
      </w:r>
      <w:r w:rsidR="00A67412" w:rsidRPr="003F7CAE">
        <w:rPr>
          <w:rFonts w:cs="Times New Roman"/>
          <w:szCs w:val="24"/>
        </w:rPr>
        <w:t>Though the Supreme Being is considered as worthy of utmost reverence, most African traditional religions</w:t>
      </w:r>
      <w:r w:rsidR="00D90464">
        <w:rPr>
          <w:rFonts w:cs="Times New Roman"/>
          <w:szCs w:val="24"/>
        </w:rPr>
        <w:t xml:space="preserve"> are pushed to the corner by fear that they find themselves giving more heed to ancestor spirits. It follows that </w:t>
      </w:r>
      <w:r w:rsidR="003D74FB">
        <w:rPr>
          <w:rFonts w:cs="Times New Roman"/>
          <w:szCs w:val="24"/>
        </w:rPr>
        <w:t xml:space="preserve">since </w:t>
      </w:r>
      <w:r w:rsidR="00D90464">
        <w:rPr>
          <w:rFonts w:cs="Times New Roman"/>
          <w:szCs w:val="24"/>
        </w:rPr>
        <w:t>Supreme Beings are withdrawn and do not like being disturbed, the</w:t>
      </w:r>
      <w:r w:rsidR="003D74FB">
        <w:rPr>
          <w:rFonts w:cs="Times New Roman"/>
          <w:szCs w:val="24"/>
        </w:rPr>
        <w:t>y have less demands compared to ancestor spirits. As such therefore, there are not attention seeking to demand a higher recognition.</w:t>
      </w:r>
    </w:p>
    <w:p w14:paraId="78B79701" w14:textId="75386C5F" w:rsidR="001F4B75" w:rsidRPr="003F7CAE" w:rsidRDefault="001F4B75" w:rsidP="001F4B75">
      <w:pPr>
        <w:pStyle w:val="Heading3"/>
        <w:jc w:val="center"/>
        <w:rPr>
          <w:rFonts w:ascii="Times New Roman" w:hAnsi="Times New Roman" w:cs="Times New Roman"/>
          <w:color w:val="auto"/>
        </w:rPr>
      </w:pPr>
      <w:bookmarkStart w:id="28" w:name="_Toc80073305"/>
      <w:r w:rsidRPr="003F7CAE">
        <w:rPr>
          <w:rFonts w:ascii="Times New Roman" w:hAnsi="Times New Roman" w:cs="Times New Roman"/>
          <w:color w:val="auto"/>
        </w:rPr>
        <w:t>Nature Spirits</w:t>
      </w:r>
      <w:bookmarkEnd w:id="28"/>
    </w:p>
    <w:p w14:paraId="23A9F796" w14:textId="5877034C" w:rsidR="00513B86" w:rsidRDefault="009B52AF" w:rsidP="006E6E68">
      <w:pPr>
        <w:ind w:firstLine="720"/>
      </w:pPr>
      <w:r>
        <w:rPr>
          <w:rFonts w:cs="Times New Roman"/>
          <w:szCs w:val="24"/>
        </w:rPr>
        <w:t xml:space="preserve">Another supernatural being that </w:t>
      </w:r>
      <w:r w:rsidR="00E0677B">
        <w:rPr>
          <w:rFonts w:cs="Times New Roman"/>
          <w:szCs w:val="24"/>
        </w:rPr>
        <w:t xml:space="preserve">demands for attention in </w:t>
      </w:r>
      <w:r>
        <w:rPr>
          <w:rFonts w:cs="Times New Roman"/>
          <w:szCs w:val="24"/>
        </w:rPr>
        <w:t>ATR is nature spirit</w:t>
      </w:r>
      <w:r w:rsidR="00760C48">
        <w:rPr>
          <w:rFonts w:cs="Times New Roman"/>
          <w:szCs w:val="24"/>
        </w:rPr>
        <w:t>s</w:t>
      </w:r>
      <w:r w:rsidR="00513B86">
        <w:t xml:space="preserve">. </w:t>
      </w:r>
      <w:r w:rsidR="00513B86">
        <w:rPr>
          <w:rFonts w:cs="Times New Roman"/>
          <w:szCs w:val="24"/>
        </w:rPr>
        <w:t>The veneration of nature spirits began after tribesmen began to study and observe nature. The consequence of their observation is that they began to adopt or rather create</w:t>
      </w:r>
      <w:r w:rsidR="00513B86">
        <w:t xml:space="preserve"> spiritual and religious beliefs and practices</w:t>
      </w:r>
      <w:r w:rsidR="005411F6">
        <w:t xml:space="preserve"> as a result of their experiences</w:t>
      </w:r>
      <w:r w:rsidR="00513B86">
        <w:t xml:space="preserve">. Slowly and eventually, Africans began to revere nature. The plants, rivers and trees </w:t>
      </w:r>
      <w:r w:rsidR="005411F6">
        <w:t>that existed to be used by the communities now had</w:t>
      </w:r>
      <w:r w:rsidR="00513B86">
        <w:t xml:space="preserve"> significant meaning. This </w:t>
      </w:r>
      <w:r w:rsidR="005411F6">
        <w:t>author</w:t>
      </w:r>
      <w:r w:rsidR="00513B86">
        <w:t xml:space="preserve"> </w:t>
      </w:r>
      <w:r w:rsidR="005411F6">
        <w:t xml:space="preserve">as an example </w:t>
      </w:r>
      <w:r w:rsidR="00F04E67">
        <w:t xml:space="preserve">notes that his Kisii </w:t>
      </w:r>
      <w:r w:rsidR="00214A86">
        <w:t xml:space="preserve">tribe </w:t>
      </w:r>
      <w:r w:rsidR="005411F6">
        <w:t>attributed</w:t>
      </w:r>
      <w:r w:rsidR="00513B86">
        <w:t xml:space="preserve"> certain </w:t>
      </w:r>
      <w:r w:rsidR="005411F6">
        <w:t xml:space="preserve">spiritual </w:t>
      </w:r>
      <w:r w:rsidR="00513B86">
        <w:t xml:space="preserve">qualities to </w:t>
      </w:r>
      <w:r w:rsidR="005411F6">
        <w:t>rivers.</w:t>
      </w:r>
      <w:r w:rsidR="00513B86">
        <w:t xml:space="preserve"> </w:t>
      </w:r>
      <w:r w:rsidR="00F04E67">
        <w:t xml:space="preserve">One of the most common spiritual exercises in the Kisii </w:t>
      </w:r>
      <w:r w:rsidR="00F04E67">
        <w:lastRenderedPageBreak/>
        <w:t xml:space="preserve">community was </w:t>
      </w:r>
      <w:r w:rsidR="007D50ED">
        <w:t>circumcision rites</w:t>
      </w:r>
      <w:r w:rsidR="00F04E67">
        <w:t xml:space="preserve">. According to Kisii traditions, circumcision for both boys and girls took place </w:t>
      </w:r>
      <w:r w:rsidR="007D50ED">
        <w:t>by river bank</w:t>
      </w:r>
      <w:r w:rsidR="00F04E67">
        <w:t>s</w:t>
      </w:r>
      <w:r w:rsidR="007D50ED">
        <w:t>.</w:t>
      </w:r>
      <w:r w:rsidR="00F04E67">
        <w:t xml:space="preserve"> </w:t>
      </w:r>
      <w:r w:rsidR="007D50ED">
        <w:t xml:space="preserve"> The river was considered as a source of life and hence when boys were ushered into adulthood by the process of circumcision, the elders would pray to the river to sustain the boys with life and fruitfulness as they ventured into adulthood.</w:t>
      </w:r>
      <w:r w:rsidR="00F04E67">
        <w:t xml:space="preserve"> Also, the circumcisers would make chants invoking the presence of the ancestors.</w:t>
      </w:r>
    </w:p>
    <w:p w14:paraId="4CEE8820" w14:textId="0A53B635" w:rsidR="00F76D7E" w:rsidRPr="003F7CAE" w:rsidRDefault="00F04E67" w:rsidP="0081498C">
      <w:pPr>
        <w:ind w:firstLine="720"/>
        <w:rPr>
          <w:rFonts w:cs="Times New Roman"/>
          <w:szCs w:val="24"/>
        </w:rPr>
      </w:pPr>
      <w:r>
        <w:t xml:space="preserve">Another example is that of the Agikuyu. The Agikuyu tradition aver that their first parents originated from the mountain (Mt Kirinyaga). </w:t>
      </w:r>
      <w:r w:rsidR="00C02B16">
        <w:t xml:space="preserve">In respect to that, the Agikuyu tradition pays obeisance to the mountain. When praying to their god Ngai, they are required to face the mountain from whence life started. Another object of their worship is the mugumo tree. The mugumo tree is sacred before the kikuyus because it stands for stability and well-being of the community. The tree is significant in the sense that the community conducts several spiritual exercises under it. </w:t>
      </w:r>
      <w:r w:rsidR="004706C8">
        <w:t>For instance</w:t>
      </w:r>
      <w:r w:rsidR="00C02B16">
        <w:t>, kikuyu elders offer animal sacrifices</w:t>
      </w:r>
      <w:r w:rsidR="004706C8">
        <w:t xml:space="preserve"> (preferably sheep)</w:t>
      </w:r>
      <w:r w:rsidR="00C02B16">
        <w:t xml:space="preserve"> under the tree. </w:t>
      </w:r>
      <w:r w:rsidR="007D50ED">
        <w:t xml:space="preserve">For the Agikuyu, </w:t>
      </w:r>
      <w:r w:rsidR="00513B86">
        <w:t>t</w:t>
      </w:r>
      <w:r w:rsidR="00760C48">
        <w:rPr>
          <w:rFonts w:cs="Times New Roman"/>
          <w:szCs w:val="24"/>
        </w:rPr>
        <w:t xml:space="preserve">hough nature spirits are not as recognized as the ancestor spirits, they still have an important role to play in the lives of people. </w:t>
      </w:r>
      <w:r w:rsidR="009954FD">
        <w:rPr>
          <w:rFonts w:cs="Times New Roman"/>
          <w:szCs w:val="24"/>
        </w:rPr>
        <w:t>Last</w:t>
      </w:r>
      <w:r w:rsidR="007E6190">
        <w:rPr>
          <w:rFonts w:cs="Times New Roman"/>
          <w:szCs w:val="24"/>
        </w:rPr>
        <w:t xml:space="preserve"> of all, and as </w:t>
      </w:r>
      <w:r w:rsidR="007D50ED">
        <w:rPr>
          <w:rFonts w:cs="Times New Roman"/>
          <w:szCs w:val="24"/>
        </w:rPr>
        <w:t>Corduan observes</w:t>
      </w:r>
      <w:r w:rsidR="00214A86">
        <w:rPr>
          <w:rFonts w:cs="Times New Roman"/>
          <w:szCs w:val="24"/>
        </w:rPr>
        <w:t>,</w:t>
      </w:r>
      <w:r w:rsidR="007D50ED">
        <w:rPr>
          <w:rFonts w:cs="Times New Roman"/>
          <w:szCs w:val="24"/>
        </w:rPr>
        <w:t xml:space="preserve"> to the </w:t>
      </w:r>
      <w:r w:rsidR="007E6190">
        <w:rPr>
          <w:rFonts w:cs="Times New Roman"/>
          <w:szCs w:val="24"/>
        </w:rPr>
        <w:t>A</w:t>
      </w:r>
      <w:r w:rsidR="007D50ED">
        <w:rPr>
          <w:rFonts w:cs="Times New Roman"/>
          <w:szCs w:val="24"/>
        </w:rPr>
        <w:t>gikuyu nature spirits are considered to be neglected ancestor spirits.</w:t>
      </w:r>
      <w:r w:rsidR="007D50ED">
        <w:rPr>
          <w:rStyle w:val="FootnoteReference"/>
          <w:rFonts w:cs="Times New Roman"/>
          <w:szCs w:val="24"/>
        </w:rPr>
        <w:footnoteReference w:id="20"/>
      </w:r>
    </w:p>
    <w:p w14:paraId="18A611C4" w14:textId="67FC7286" w:rsidR="007927B9" w:rsidRPr="003F7CAE" w:rsidRDefault="007927B9" w:rsidP="001F4B75">
      <w:pPr>
        <w:pStyle w:val="Heading2"/>
        <w:rPr>
          <w:rFonts w:cs="Times New Roman"/>
          <w:color w:val="auto"/>
          <w:szCs w:val="24"/>
        </w:rPr>
      </w:pPr>
      <w:bookmarkStart w:id="29" w:name="_Toc80073306"/>
      <w:r w:rsidRPr="003F7CAE">
        <w:rPr>
          <w:rFonts w:cs="Times New Roman"/>
          <w:color w:val="auto"/>
          <w:szCs w:val="24"/>
        </w:rPr>
        <w:t>Philosophy of lif</w:t>
      </w:r>
      <w:r w:rsidR="0046486E" w:rsidRPr="003F7CAE">
        <w:rPr>
          <w:rFonts w:cs="Times New Roman"/>
          <w:color w:val="auto"/>
          <w:szCs w:val="24"/>
        </w:rPr>
        <w:t>e</w:t>
      </w:r>
      <w:bookmarkEnd w:id="29"/>
    </w:p>
    <w:p w14:paraId="6F6599FB" w14:textId="3D3E04C6" w:rsidR="00D87AF3" w:rsidRDefault="00C42B8F" w:rsidP="00D87AF3">
      <w:pPr>
        <w:ind w:firstLine="720"/>
        <w:rPr>
          <w:rFonts w:cs="Times New Roman"/>
          <w:szCs w:val="24"/>
        </w:rPr>
      </w:pPr>
      <w:r>
        <w:rPr>
          <w:rFonts w:cs="Times New Roman"/>
          <w:szCs w:val="24"/>
        </w:rPr>
        <w:t>African Traditional Religion philosophy mostly focuses on this-</w:t>
      </w:r>
      <w:r w:rsidR="0013174E">
        <w:rPr>
          <w:rFonts w:cs="Times New Roman"/>
          <w:szCs w:val="24"/>
        </w:rPr>
        <w:t>world</w:t>
      </w:r>
      <w:r>
        <w:rPr>
          <w:rFonts w:cs="Times New Roman"/>
          <w:szCs w:val="24"/>
        </w:rPr>
        <w:t xml:space="preserve"> concerns and present spiritual agencies. </w:t>
      </w:r>
      <w:r w:rsidR="00435D1B">
        <w:rPr>
          <w:rFonts w:cs="Times New Roman"/>
          <w:szCs w:val="24"/>
        </w:rPr>
        <w:t xml:space="preserve">According to </w:t>
      </w:r>
      <w:r w:rsidR="00D87AF3" w:rsidRPr="003F7CAE">
        <w:rPr>
          <w:rFonts w:cs="Times New Roman"/>
          <w:szCs w:val="24"/>
        </w:rPr>
        <w:t>Christian Steyn, “African worldview is holistic and makes no separation between the human and the spirit world. The seen and the unseen worlds are interconnected and there is constant interaction between people, ancestors, spirits, nature and the Supreme Being</w:t>
      </w:r>
      <w:r w:rsidR="00214A86">
        <w:rPr>
          <w:rFonts w:cs="Times New Roman"/>
          <w:szCs w:val="24"/>
        </w:rPr>
        <w:t>. When</w:t>
      </w:r>
      <w:r w:rsidR="00D87AF3" w:rsidRPr="0013174E">
        <w:rPr>
          <w:rFonts w:cs="Times New Roman"/>
          <w:szCs w:val="24"/>
        </w:rPr>
        <w:t xml:space="preserve"> the natural</w:t>
      </w:r>
      <w:r w:rsidR="00D87AF3" w:rsidRPr="003F7CAE">
        <w:rPr>
          <w:rFonts w:cs="Times New Roman"/>
          <w:szCs w:val="24"/>
        </w:rPr>
        <w:t xml:space="preserve"> harmony between these worlds is disturbed, illness and </w:t>
      </w:r>
      <w:r w:rsidR="00D87AF3" w:rsidRPr="003F7CAE">
        <w:rPr>
          <w:rFonts w:cs="Times New Roman"/>
          <w:szCs w:val="24"/>
        </w:rPr>
        <w:lastRenderedPageBreak/>
        <w:t>misfortune set in and this can only be healed by ritually restoring balance again.</w:t>
      </w:r>
      <w:r w:rsidR="00D87AF3" w:rsidRPr="003F7CAE">
        <w:rPr>
          <w:rStyle w:val="FootnoteReference"/>
          <w:rFonts w:cs="Times New Roman"/>
          <w:sz w:val="24"/>
          <w:szCs w:val="24"/>
        </w:rPr>
        <w:footnoteReference w:id="21"/>
      </w:r>
      <w:r w:rsidR="004706C8">
        <w:rPr>
          <w:rFonts w:cs="Times New Roman"/>
          <w:szCs w:val="24"/>
        </w:rPr>
        <w:t xml:space="preserve"> </w:t>
      </w:r>
      <w:r w:rsidR="00435D1B">
        <w:rPr>
          <w:rFonts w:cs="Times New Roman"/>
          <w:szCs w:val="24"/>
        </w:rPr>
        <w:t xml:space="preserve">As such therefore, </w:t>
      </w:r>
      <w:r w:rsidR="00ED77B1">
        <w:rPr>
          <w:rFonts w:cs="Times New Roman"/>
          <w:szCs w:val="24"/>
        </w:rPr>
        <w:t xml:space="preserve">it is hard to classify the African life. unlike the western view that sees things as dualistic or chiasmic, the African philosophy views things as one and inseparable. There is no edge between the dead and living. </w:t>
      </w:r>
      <w:r w:rsidR="00214A86">
        <w:rPr>
          <w:rFonts w:cs="Times New Roman"/>
          <w:szCs w:val="24"/>
        </w:rPr>
        <w:t>Instead, t</w:t>
      </w:r>
      <w:r w:rsidR="00ED77B1">
        <w:rPr>
          <w:rFonts w:cs="Times New Roman"/>
          <w:szCs w:val="24"/>
        </w:rPr>
        <w:t xml:space="preserve">here is the living dead. </w:t>
      </w:r>
      <w:r w:rsidR="009954FD">
        <w:rPr>
          <w:rFonts w:cs="Times New Roman"/>
          <w:szCs w:val="24"/>
        </w:rPr>
        <w:t xml:space="preserve">There is no edge between the Creator and the Creation. </w:t>
      </w:r>
      <w:r w:rsidR="00ED77B1">
        <w:rPr>
          <w:rFonts w:cs="Times New Roman"/>
          <w:szCs w:val="24"/>
        </w:rPr>
        <w:t>Both the creator and the creature can all be worshipped</w:t>
      </w:r>
      <w:r w:rsidR="009954FD">
        <w:rPr>
          <w:rFonts w:cs="Times New Roman"/>
          <w:szCs w:val="24"/>
        </w:rPr>
        <w:t xml:space="preserve"> </w:t>
      </w:r>
      <w:r w:rsidR="00ED77B1">
        <w:rPr>
          <w:rFonts w:cs="Times New Roman"/>
          <w:szCs w:val="24"/>
        </w:rPr>
        <w:t>without any problem.</w:t>
      </w:r>
    </w:p>
    <w:p w14:paraId="7B86966C" w14:textId="1C4D6714" w:rsidR="00200875" w:rsidRDefault="0013174E" w:rsidP="00E774C7">
      <w:pPr>
        <w:ind w:firstLine="720"/>
        <w:rPr>
          <w:rFonts w:cs="Times New Roman"/>
          <w:szCs w:val="24"/>
        </w:rPr>
      </w:pPr>
      <w:r>
        <w:rPr>
          <w:rFonts w:cs="Times New Roman"/>
          <w:szCs w:val="24"/>
        </w:rPr>
        <w:t xml:space="preserve">Secondly, </w:t>
      </w:r>
      <w:r w:rsidR="00214A86">
        <w:rPr>
          <w:rFonts w:cs="Times New Roman"/>
          <w:szCs w:val="24"/>
        </w:rPr>
        <w:t>African t</w:t>
      </w:r>
      <w:r w:rsidR="00435D1B">
        <w:rPr>
          <w:rFonts w:cs="Times New Roman"/>
          <w:szCs w:val="24"/>
        </w:rPr>
        <w:t xml:space="preserve">ribes view </w:t>
      </w:r>
      <w:r w:rsidR="00D2692F">
        <w:rPr>
          <w:rFonts w:cs="Times New Roman"/>
          <w:szCs w:val="24"/>
        </w:rPr>
        <w:t xml:space="preserve">life from a </w:t>
      </w:r>
      <w:r w:rsidR="00435D1B">
        <w:rPr>
          <w:rFonts w:cs="Times New Roman"/>
          <w:szCs w:val="24"/>
        </w:rPr>
        <w:t>commun</w:t>
      </w:r>
      <w:r w:rsidR="007C1159">
        <w:rPr>
          <w:rFonts w:cs="Times New Roman"/>
          <w:szCs w:val="24"/>
        </w:rPr>
        <w:t>ity</w:t>
      </w:r>
      <w:r w:rsidR="00D2692F">
        <w:rPr>
          <w:rFonts w:cs="Times New Roman"/>
          <w:szCs w:val="24"/>
        </w:rPr>
        <w:t xml:space="preserve"> standpoint.</w:t>
      </w:r>
      <w:r w:rsidR="00435D1B">
        <w:rPr>
          <w:rFonts w:cs="Times New Roman"/>
          <w:szCs w:val="24"/>
        </w:rPr>
        <w:t xml:space="preserve"> </w:t>
      </w:r>
      <w:r w:rsidR="005472DF">
        <w:rPr>
          <w:rFonts w:cs="Times New Roman"/>
          <w:szCs w:val="24"/>
        </w:rPr>
        <w:t xml:space="preserve">A member of a community </w:t>
      </w:r>
      <w:r w:rsidR="007C1159">
        <w:rPr>
          <w:rFonts w:cs="Times New Roman"/>
          <w:szCs w:val="24"/>
        </w:rPr>
        <w:t>finds</w:t>
      </w:r>
      <w:r w:rsidR="005472DF">
        <w:rPr>
          <w:rFonts w:cs="Times New Roman"/>
          <w:szCs w:val="24"/>
        </w:rPr>
        <w:t xml:space="preserve"> his </w:t>
      </w:r>
      <w:r w:rsidR="007C1159">
        <w:rPr>
          <w:rFonts w:cs="Times New Roman"/>
          <w:szCs w:val="24"/>
        </w:rPr>
        <w:t xml:space="preserve">importance, significance and identity from the community he or she comes from. </w:t>
      </w:r>
      <w:r w:rsidR="00E774C7">
        <w:rPr>
          <w:rFonts w:cs="Times New Roman"/>
          <w:szCs w:val="24"/>
        </w:rPr>
        <w:t>Given</w:t>
      </w:r>
      <w:r w:rsidR="00435D1B">
        <w:rPr>
          <w:rFonts w:cs="Times New Roman"/>
          <w:szCs w:val="24"/>
        </w:rPr>
        <w:t xml:space="preserve"> ATR</w:t>
      </w:r>
      <w:r w:rsidR="00E774C7">
        <w:rPr>
          <w:rFonts w:cs="Times New Roman"/>
          <w:szCs w:val="24"/>
        </w:rPr>
        <w:t>’s centrality on community</w:t>
      </w:r>
      <w:r w:rsidR="00ED77B1">
        <w:rPr>
          <w:rFonts w:cs="Times New Roman"/>
          <w:szCs w:val="24"/>
        </w:rPr>
        <w:t>,</w:t>
      </w:r>
      <w:r w:rsidR="00435D1B">
        <w:rPr>
          <w:rFonts w:cs="Times New Roman"/>
          <w:szCs w:val="24"/>
        </w:rPr>
        <w:t xml:space="preserve"> </w:t>
      </w:r>
      <w:r w:rsidR="00960B5C">
        <w:rPr>
          <w:rFonts w:cs="Times New Roman"/>
          <w:szCs w:val="24"/>
        </w:rPr>
        <w:t>a person’s importance is not attached to self but rathe</w:t>
      </w:r>
      <w:r w:rsidR="00E774C7">
        <w:rPr>
          <w:rFonts w:cs="Times New Roman"/>
          <w:szCs w:val="24"/>
        </w:rPr>
        <w:t>r</w:t>
      </w:r>
      <w:r w:rsidR="00960B5C">
        <w:rPr>
          <w:rFonts w:cs="Times New Roman"/>
          <w:szCs w:val="24"/>
        </w:rPr>
        <w:t xml:space="preserve"> on the community. </w:t>
      </w:r>
      <w:r w:rsidR="007C1159">
        <w:rPr>
          <w:rFonts w:cs="Times New Roman"/>
          <w:szCs w:val="24"/>
        </w:rPr>
        <w:t>For example, t</w:t>
      </w:r>
      <w:r w:rsidR="005472DF">
        <w:rPr>
          <w:rFonts w:cs="Times New Roman"/>
          <w:szCs w:val="24"/>
        </w:rPr>
        <w:t xml:space="preserve">he Kisii community has a saying </w:t>
      </w:r>
      <w:r w:rsidR="005472DF" w:rsidRPr="005472DF">
        <w:rPr>
          <w:rFonts w:cs="Times New Roman"/>
          <w:i/>
          <w:iCs/>
          <w:szCs w:val="24"/>
        </w:rPr>
        <w:t>omonto no abanto</w:t>
      </w:r>
      <w:r w:rsidR="005472DF">
        <w:rPr>
          <w:rFonts w:cs="Times New Roman"/>
          <w:szCs w:val="24"/>
        </w:rPr>
        <w:t>. Literary translated to English it says, ‘a person is people.”</w:t>
      </w:r>
      <w:r w:rsidR="007C1159">
        <w:rPr>
          <w:rFonts w:cs="Times New Roman"/>
          <w:szCs w:val="24"/>
        </w:rPr>
        <w:t xml:space="preserve"> This saying is used to mean that a person is only as important as the people that stand by him. During funerals, weddings and other ceremonies, the number of people that show up directly demonstrates how important that person is. This importance is also attached to the number of children and wives that a person has. The more </w:t>
      </w:r>
      <w:r w:rsidR="00200875">
        <w:rPr>
          <w:rFonts w:cs="Times New Roman"/>
          <w:szCs w:val="24"/>
        </w:rPr>
        <w:t xml:space="preserve">wives and children a person </w:t>
      </w:r>
      <w:r w:rsidR="007875DE">
        <w:rPr>
          <w:rFonts w:cs="Times New Roman"/>
          <w:szCs w:val="24"/>
        </w:rPr>
        <w:t>have,</w:t>
      </w:r>
      <w:r w:rsidR="00200875">
        <w:rPr>
          <w:rFonts w:cs="Times New Roman"/>
          <w:szCs w:val="24"/>
        </w:rPr>
        <w:t xml:space="preserve"> </w:t>
      </w:r>
      <w:r w:rsidR="007C1159">
        <w:rPr>
          <w:rFonts w:cs="Times New Roman"/>
          <w:szCs w:val="24"/>
        </w:rPr>
        <w:t xml:space="preserve">the more important </w:t>
      </w:r>
      <w:r w:rsidR="00200875">
        <w:rPr>
          <w:rFonts w:cs="Times New Roman"/>
          <w:szCs w:val="24"/>
        </w:rPr>
        <w:t>he is</w:t>
      </w:r>
      <w:r w:rsidR="007C1159">
        <w:rPr>
          <w:rFonts w:cs="Times New Roman"/>
          <w:szCs w:val="24"/>
        </w:rPr>
        <w:t xml:space="preserve"> in the community.</w:t>
      </w:r>
    </w:p>
    <w:p w14:paraId="1121C083" w14:textId="0C373BD4" w:rsidR="007C1159" w:rsidRPr="000746A9" w:rsidRDefault="00200875" w:rsidP="00E774C7">
      <w:pPr>
        <w:ind w:firstLine="720"/>
        <w:rPr>
          <w:rFonts w:cs="Times New Roman"/>
          <w:szCs w:val="24"/>
        </w:rPr>
      </w:pPr>
      <w:r>
        <w:rPr>
          <w:rFonts w:cs="Times New Roman"/>
          <w:szCs w:val="24"/>
        </w:rPr>
        <w:t>In times of war, community soldiers are encouraged to fight and die for the community. Ezra Chitando</w:t>
      </w:r>
      <w:r w:rsidR="000746A9">
        <w:rPr>
          <w:rFonts w:cs="Times New Roman"/>
          <w:szCs w:val="24"/>
        </w:rPr>
        <w:t>,</w:t>
      </w:r>
      <w:r>
        <w:rPr>
          <w:rFonts w:cs="Times New Roman"/>
          <w:szCs w:val="24"/>
        </w:rPr>
        <w:t xml:space="preserve"> in his book</w:t>
      </w:r>
      <w:r w:rsidR="000746A9" w:rsidRPr="000746A9">
        <w:rPr>
          <w:rFonts w:cs="Times New Roman"/>
          <w:i/>
          <w:iCs/>
          <w:szCs w:val="24"/>
        </w:rPr>
        <w:t xml:space="preserve"> </w:t>
      </w:r>
      <w:r w:rsidR="000746A9" w:rsidRPr="0002526C">
        <w:rPr>
          <w:rFonts w:cs="Times New Roman"/>
          <w:i/>
          <w:iCs/>
          <w:szCs w:val="24"/>
        </w:rPr>
        <w:t>African Traditions in the Study of Religion, Diaspora and Gendered Societies</w:t>
      </w:r>
      <w:r w:rsidR="000746A9">
        <w:rPr>
          <w:rFonts w:cs="Times New Roman"/>
          <w:i/>
          <w:iCs/>
          <w:szCs w:val="24"/>
        </w:rPr>
        <w:t xml:space="preserve">, </w:t>
      </w:r>
      <w:r w:rsidR="000746A9">
        <w:rPr>
          <w:rFonts w:cs="Times New Roman"/>
          <w:szCs w:val="24"/>
        </w:rPr>
        <w:t>offers a thorough description of how the Abaluhya community of western Kenya handled cases of fallen soldiers. In this book he notes that the Abaluhya offered animal sacrifices not for the sake of fallen soldiers (perhaps to pray for their souls) but rather on behalf of the community to cleanse it from evil spirits and secondly to appease the ancestors</w:t>
      </w:r>
      <w:r w:rsidR="009C4641">
        <w:rPr>
          <w:rFonts w:cs="Times New Roman"/>
          <w:szCs w:val="24"/>
        </w:rPr>
        <w:t xml:space="preserve">, who might </w:t>
      </w:r>
      <w:r w:rsidR="009C4641">
        <w:rPr>
          <w:rFonts w:cs="Times New Roman"/>
          <w:szCs w:val="24"/>
        </w:rPr>
        <w:lastRenderedPageBreak/>
        <w:t>otherwise might incur wrath if neglected</w:t>
      </w:r>
      <w:r w:rsidR="000746A9">
        <w:rPr>
          <w:rFonts w:cs="Times New Roman"/>
          <w:szCs w:val="24"/>
        </w:rPr>
        <w:t>. To the Abaluhya, “</w:t>
      </w:r>
      <w:r w:rsidR="000746A9" w:rsidRPr="000746A9">
        <w:rPr>
          <w:rFonts w:cs="Times New Roman"/>
          <w:szCs w:val="24"/>
        </w:rPr>
        <w:t>The lamb’s blood also acknowledged the blood of the dead soldiers and served to indicate that they had died not in vain but for a sacrificial purpose— to safeguard the well-being of the living and for the common good.</w:t>
      </w:r>
      <w:r w:rsidR="000746A9">
        <w:rPr>
          <w:rFonts w:cs="Times New Roman"/>
          <w:szCs w:val="24"/>
        </w:rPr>
        <w:t>”</w:t>
      </w:r>
      <w:r w:rsidR="000746A9">
        <w:rPr>
          <w:rStyle w:val="FootnoteReference"/>
          <w:rFonts w:cs="Times New Roman"/>
          <w:szCs w:val="24"/>
        </w:rPr>
        <w:footnoteReference w:id="22"/>
      </w:r>
      <w:r w:rsidR="000746A9">
        <w:rPr>
          <w:rFonts w:cs="Times New Roman"/>
          <w:szCs w:val="24"/>
        </w:rPr>
        <w:t xml:space="preserve"> </w:t>
      </w:r>
    </w:p>
    <w:p w14:paraId="42C88D79" w14:textId="2F19ABAA" w:rsidR="00B600F8" w:rsidRDefault="005472DF" w:rsidP="00E774C7">
      <w:pPr>
        <w:ind w:firstLine="720"/>
        <w:rPr>
          <w:rFonts w:cs="Times New Roman"/>
          <w:szCs w:val="24"/>
        </w:rPr>
      </w:pPr>
      <w:r>
        <w:rPr>
          <w:rFonts w:cs="Times New Roman"/>
          <w:szCs w:val="24"/>
        </w:rPr>
        <w:t xml:space="preserve"> </w:t>
      </w:r>
      <w:r w:rsidR="0002526C">
        <w:rPr>
          <w:rFonts w:cs="Times New Roman"/>
          <w:szCs w:val="24"/>
        </w:rPr>
        <w:t xml:space="preserve">In regard to the order of priority, most African traditional religions first take the interests of their community before those of individuals. Ezra Chitando, </w:t>
      </w:r>
      <w:r w:rsidR="009C4641">
        <w:rPr>
          <w:rFonts w:cs="Times New Roman"/>
          <w:szCs w:val="24"/>
        </w:rPr>
        <w:t xml:space="preserve">again on detailing </w:t>
      </w:r>
      <w:r w:rsidR="00B600F8">
        <w:rPr>
          <w:rFonts w:cs="Times New Roman"/>
          <w:szCs w:val="24"/>
        </w:rPr>
        <w:t>how the Abaluhya community of western Kenya handled conflict</w:t>
      </w:r>
      <w:r w:rsidR="00200875">
        <w:rPr>
          <w:rFonts w:cs="Times New Roman"/>
          <w:szCs w:val="24"/>
        </w:rPr>
        <w:t xml:space="preserve"> with other communities</w:t>
      </w:r>
      <w:r w:rsidR="009C4641">
        <w:rPr>
          <w:rFonts w:cs="Times New Roman"/>
          <w:szCs w:val="24"/>
        </w:rPr>
        <w:t xml:space="preserve">, </w:t>
      </w:r>
      <w:r w:rsidR="00B600F8">
        <w:rPr>
          <w:rFonts w:cs="Times New Roman"/>
          <w:szCs w:val="24"/>
        </w:rPr>
        <w:t xml:space="preserve">notes that when the Abaluhya community had a conflict against another, </w:t>
      </w:r>
      <w:r w:rsidR="00200875">
        <w:rPr>
          <w:rFonts w:cs="Times New Roman"/>
          <w:szCs w:val="24"/>
        </w:rPr>
        <w:t>their conflict resolution procedure</w:t>
      </w:r>
      <w:r w:rsidR="00B600F8">
        <w:rPr>
          <w:rFonts w:cs="Times New Roman"/>
          <w:szCs w:val="24"/>
        </w:rPr>
        <w:t xml:space="preserve"> ensured that the community got </w:t>
      </w:r>
      <w:r w:rsidR="00200875">
        <w:rPr>
          <w:rFonts w:cs="Times New Roman"/>
          <w:szCs w:val="24"/>
        </w:rPr>
        <w:t xml:space="preserve">what they wanted </w:t>
      </w:r>
      <w:r w:rsidR="00B600F8">
        <w:rPr>
          <w:rFonts w:cs="Times New Roman"/>
          <w:szCs w:val="24"/>
        </w:rPr>
        <w:t xml:space="preserve">first before </w:t>
      </w:r>
      <w:r w:rsidR="0091056D">
        <w:rPr>
          <w:rFonts w:cs="Times New Roman"/>
          <w:szCs w:val="24"/>
        </w:rPr>
        <w:t xml:space="preserve">the </w:t>
      </w:r>
      <w:r w:rsidR="00433072">
        <w:rPr>
          <w:rFonts w:cs="Times New Roman"/>
          <w:szCs w:val="24"/>
        </w:rPr>
        <w:t xml:space="preserve">elites </w:t>
      </w:r>
      <w:r w:rsidR="007875DE">
        <w:rPr>
          <w:rFonts w:cs="Times New Roman"/>
          <w:szCs w:val="24"/>
        </w:rPr>
        <w:t>who</w:t>
      </w:r>
      <w:r w:rsidR="00433072">
        <w:rPr>
          <w:rFonts w:cs="Times New Roman"/>
          <w:szCs w:val="24"/>
        </w:rPr>
        <w:t xml:space="preserve"> might have instigated the war.</w:t>
      </w:r>
      <w:r w:rsidR="00B600F8">
        <w:rPr>
          <w:rFonts w:cs="Times New Roman"/>
          <w:szCs w:val="24"/>
        </w:rPr>
        <w:t xml:space="preserve"> </w:t>
      </w:r>
      <w:r w:rsidR="0091056D">
        <w:rPr>
          <w:rFonts w:cs="Times New Roman"/>
          <w:szCs w:val="24"/>
        </w:rPr>
        <w:t xml:space="preserve">According to the Abaluhya, </w:t>
      </w:r>
      <w:r w:rsidR="00433072">
        <w:rPr>
          <w:rFonts w:cs="Times New Roman"/>
          <w:szCs w:val="24"/>
        </w:rPr>
        <w:t xml:space="preserve">going to war could not be sanctioned because of an elite. Rather the abaluhya community went to war when they felt the interests of the community were at stake. </w:t>
      </w:r>
      <w:r w:rsidR="0091056D">
        <w:rPr>
          <w:rFonts w:cs="Times New Roman"/>
          <w:szCs w:val="24"/>
        </w:rPr>
        <w:t xml:space="preserve">To the community, the welfare of the community was a greater priority than that of </w:t>
      </w:r>
      <w:r w:rsidR="00433072">
        <w:rPr>
          <w:rFonts w:cs="Times New Roman"/>
          <w:szCs w:val="24"/>
        </w:rPr>
        <w:t>say the leader of the group who might have been harmed by a member of the other community. This explains why most African communities fought over things that benefited all</w:t>
      </w:r>
      <w:r w:rsidR="00D0281F">
        <w:rPr>
          <w:rFonts w:cs="Times New Roman"/>
          <w:szCs w:val="24"/>
        </w:rPr>
        <w:t xml:space="preserve">. </w:t>
      </w:r>
      <w:r w:rsidR="00D0281F">
        <w:t>Chitando asserts, “</w:t>
      </w:r>
      <w:r w:rsidR="00D0281F" w:rsidRPr="00D0281F">
        <w:rPr>
          <w:rFonts w:cs="Times New Roman"/>
          <w:szCs w:val="24"/>
        </w:rPr>
        <w:t>the act of war among and between the Ababukusu and the Iteso, Bakhayo, Bawanga, and Elgon Kalenjin were as much about cattle as land, for they were neighbors who tended to expand at the expense of the others as their population grew.</w:t>
      </w:r>
      <w:r w:rsidR="00D0281F">
        <w:rPr>
          <w:rFonts w:cs="Times New Roman"/>
          <w:szCs w:val="24"/>
        </w:rPr>
        <w:t>”</w:t>
      </w:r>
      <w:r w:rsidR="00D0281F">
        <w:rPr>
          <w:rStyle w:val="FootnoteReference"/>
          <w:rFonts w:cs="Times New Roman"/>
          <w:szCs w:val="24"/>
        </w:rPr>
        <w:footnoteReference w:id="23"/>
      </w:r>
    </w:p>
    <w:p w14:paraId="3F58247E" w14:textId="6198D7BF" w:rsidR="0013174E" w:rsidRPr="003F7CAE" w:rsidRDefault="00D0281F" w:rsidP="00E774C7">
      <w:pPr>
        <w:ind w:firstLine="720"/>
        <w:rPr>
          <w:rFonts w:cs="Times New Roman"/>
          <w:szCs w:val="24"/>
        </w:rPr>
      </w:pPr>
      <w:r>
        <w:rPr>
          <w:rFonts w:cs="Times New Roman"/>
          <w:szCs w:val="24"/>
        </w:rPr>
        <w:t>Also</w:t>
      </w:r>
      <w:r w:rsidR="00214A86">
        <w:rPr>
          <w:rFonts w:cs="Times New Roman"/>
          <w:szCs w:val="24"/>
        </w:rPr>
        <w:t xml:space="preserve">, </w:t>
      </w:r>
      <w:r>
        <w:rPr>
          <w:rFonts w:cs="Times New Roman"/>
          <w:szCs w:val="24"/>
        </w:rPr>
        <w:t>ATR views a p</w:t>
      </w:r>
      <w:r w:rsidR="00D2692F">
        <w:rPr>
          <w:rFonts w:cs="Times New Roman"/>
          <w:szCs w:val="24"/>
        </w:rPr>
        <w:t xml:space="preserve">erson’s identity </w:t>
      </w:r>
      <w:r>
        <w:rPr>
          <w:rFonts w:cs="Times New Roman"/>
          <w:szCs w:val="24"/>
        </w:rPr>
        <w:t>in the sense of their community and not individuality</w:t>
      </w:r>
      <w:r w:rsidR="00D2692F">
        <w:rPr>
          <w:rFonts w:cs="Times New Roman"/>
          <w:szCs w:val="24"/>
        </w:rPr>
        <w:t xml:space="preserve">. </w:t>
      </w:r>
      <w:r w:rsidR="00E774C7">
        <w:rPr>
          <w:rFonts w:cs="Times New Roman"/>
          <w:szCs w:val="24"/>
        </w:rPr>
        <w:t>T</w:t>
      </w:r>
      <w:r w:rsidR="00E774C7" w:rsidRPr="00E774C7">
        <w:rPr>
          <w:rFonts w:cs="Times New Roman"/>
          <w:szCs w:val="24"/>
        </w:rPr>
        <w:t xml:space="preserve">he </w:t>
      </w:r>
      <w:r w:rsidR="00E774C7">
        <w:rPr>
          <w:rFonts w:cs="Times New Roman"/>
          <w:szCs w:val="24"/>
        </w:rPr>
        <w:t>idea is</w:t>
      </w:r>
      <w:r w:rsidR="00E774C7" w:rsidRPr="00E774C7">
        <w:rPr>
          <w:rFonts w:cs="Times New Roman"/>
          <w:szCs w:val="24"/>
        </w:rPr>
        <w:t xml:space="preserve"> “I am because we are.” </w:t>
      </w:r>
      <w:r w:rsidR="00E774C7">
        <w:rPr>
          <w:rFonts w:cs="Times New Roman"/>
          <w:szCs w:val="24"/>
        </w:rPr>
        <w:t>James L. Cox explains, “</w:t>
      </w:r>
      <w:r w:rsidR="00E774C7" w:rsidRPr="00E774C7">
        <w:rPr>
          <w:rFonts w:cs="Times New Roman"/>
          <w:szCs w:val="24"/>
        </w:rPr>
        <w:t>The saying, with its individualistic</w:t>
      </w:r>
      <w:r w:rsidR="00E774C7">
        <w:rPr>
          <w:rFonts w:cs="Times New Roman"/>
          <w:szCs w:val="24"/>
        </w:rPr>
        <w:t xml:space="preserve"> </w:t>
      </w:r>
      <w:r w:rsidR="00E774C7" w:rsidRPr="00E774C7">
        <w:rPr>
          <w:rFonts w:cs="Times New Roman"/>
          <w:szCs w:val="24"/>
        </w:rPr>
        <w:t>clique “I am,” emphasizes that one’s humanity is only realized in the context where</w:t>
      </w:r>
      <w:r w:rsidR="00E774C7">
        <w:rPr>
          <w:rFonts w:cs="Times New Roman"/>
          <w:szCs w:val="24"/>
        </w:rPr>
        <w:t xml:space="preserve"> </w:t>
      </w:r>
      <w:r w:rsidR="00E774C7" w:rsidRPr="00E774C7">
        <w:rPr>
          <w:rFonts w:cs="Times New Roman"/>
          <w:szCs w:val="24"/>
        </w:rPr>
        <w:t xml:space="preserve">“we are,” that is, in a communal setting. </w:t>
      </w:r>
      <w:r w:rsidR="00E774C7">
        <w:rPr>
          <w:rFonts w:cs="Times New Roman"/>
          <w:szCs w:val="24"/>
        </w:rPr>
        <w:t>He further notes, “</w:t>
      </w:r>
      <w:r w:rsidR="00E774C7" w:rsidRPr="00E774C7">
        <w:rPr>
          <w:rFonts w:cs="Times New Roman"/>
          <w:szCs w:val="24"/>
        </w:rPr>
        <w:t xml:space="preserve">The second part of the saying </w:t>
      </w:r>
      <w:r w:rsidR="00E774C7" w:rsidRPr="00E774C7">
        <w:rPr>
          <w:rFonts w:cs="Times New Roman"/>
          <w:szCs w:val="24"/>
        </w:rPr>
        <w:lastRenderedPageBreak/>
        <w:t>focuses on community, that is, “we are.”</w:t>
      </w:r>
      <w:r w:rsidR="00877766">
        <w:rPr>
          <w:rStyle w:val="FootnoteReference"/>
          <w:rFonts w:cs="Times New Roman"/>
          <w:szCs w:val="24"/>
        </w:rPr>
        <w:footnoteReference w:id="24"/>
      </w:r>
      <w:r w:rsidR="00E774C7">
        <w:rPr>
          <w:rFonts w:cs="Times New Roman"/>
          <w:szCs w:val="24"/>
        </w:rPr>
        <w:t xml:space="preserve"> </w:t>
      </w:r>
      <w:r w:rsidR="00D2692F">
        <w:rPr>
          <w:rFonts w:cs="Times New Roman"/>
          <w:szCs w:val="24"/>
        </w:rPr>
        <w:t>Winfried Corduan a</w:t>
      </w:r>
      <w:r w:rsidR="00CE499B">
        <w:rPr>
          <w:rFonts w:cs="Times New Roman"/>
          <w:szCs w:val="24"/>
        </w:rPr>
        <w:t>fter visiting the Agikuyu community in Kenya observed that</w:t>
      </w:r>
      <w:r w:rsidR="00435D1B">
        <w:rPr>
          <w:rFonts w:cs="Times New Roman"/>
          <w:szCs w:val="24"/>
        </w:rPr>
        <w:t xml:space="preserve"> </w:t>
      </w:r>
      <w:r w:rsidR="00214A86">
        <w:rPr>
          <w:rFonts w:cs="Times New Roman"/>
          <w:szCs w:val="24"/>
        </w:rPr>
        <w:t xml:space="preserve">their </w:t>
      </w:r>
      <w:r w:rsidR="00435D1B">
        <w:rPr>
          <w:rFonts w:cs="Times New Roman"/>
          <w:szCs w:val="24"/>
        </w:rPr>
        <w:t xml:space="preserve">focus </w:t>
      </w:r>
      <w:r w:rsidR="00214A86">
        <w:rPr>
          <w:rFonts w:cs="Times New Roman"/>
          <w:szCs w:val="24"/>
        </w:rPr>
        <w:t>was o</w:t>
      </w:r>
      <w:r w:rsidR="00435D1B" w:rsidRPr="00435D1B">
        <w:rPr>
          <w:rFonts w:cs="Times New Roman"/>
          <w:szCs w:val="24"/>
        </w:rPr>
        <w:t>n what a community believes and practices, and on individuals participating in something that belongs to the community as a whole</w:t>
      </w:r>
      <w:r w:rsidR="00435D1B">
        <w:rPr>
          <w:rFonts w:cs="Times New Roman"/>
          <w:szCs w:val="24"/>
        </w:rPr>
        <w:t>.</w:t>
      </w:r>
      <w:r w:rsidR="005472DF">
        <w:rPr>
          <w:rStyle w:val="FootnoteReference"/>
          <w:rFonts w:cs="Times New Roman"/>
          <w:szCs w:val="24"/>
        </w:rPr>
        <w:footnoteReference w:id="25"/>
      </w:r>
    </w:p>
    <w:p w14:paraId="3A2E7D1B" w14:textId="3F99ADDA" w:rsidR="007927B9" w:rsidRDefault="007927B9" w:rsidP="0046486E">
      <w:pPr>
        <w:pStyle w:val="Heading2"/>
        <w:rPr>
          <w:rFonts w:cs="Times New Roman"/>
          <w:color w:val="auto"/>
          <w:szCs w:val="24"/>
        </w:rPr>
      </w:pPr>
      <w:bookmarkStart w:id="30" w:name="_Toc80073307"/>
      <w:r w:rsidRPr="003F7CAE">
        <w:rPr>
          <w:rFonts w:cs="Times New Roman"/>
          <w:color w:val="auto"/>
          <w:szCs w:val="24"/>
        </w:rPr>
        <w:t>Importance of Rites of Passage</w:t>
      </w:r>
      <w:bookmarkEnd w:id="30"/>
    </w:p>
    <w:p w14:paraId="1F65113F" w14:textId="77777777" w:rsidR="002B688A" w:rsidRPr="00D0281F" w:rsidRDefault="00D0281F" w:rsidP="002B688A">
      <w:pPr>
        <w:ind w:firstLine="720"/>
      </w:pPr>
      <w:r>
        <w:t xml:space="preserve">Rites are very important in the African Traditional Religion. </w:t>
      </w:r>
      <w:r w:rsidR="004020BB">
        <w:t xml:space="preserve">Given that in ATR </w:t>
      </w:r>
      <w:r w:rsidR="004020BB" w:rsidRPr="004020BB">
        <w:t>life tends to be highly regulated according to age, Rites of passage are more than just celebrations of transitions in life</w:t>
      </w:r>
      <w:r w:rsidR="004020BB">
        <w:t xml:space="preserve">. </w:t>
      </w:r>
      <w:r w:rsidR="002B688A">
        <w:t xml:space="preserve">Winfried Corduan notes that for </w:t>
      </w:r>
      <w:r w:rsidR="002B688A" w:rsidRPr="00795993">
        <w:t>a</w:t>
      </w:r>
      <w:r w:rsidR="002B688A">
        <w:t xml:space="preserve"> celebration to be considered as a</w:t>
      </w:r>
      <w:r w:rsidR="002B688A" w:rsidRPr="00795993">
        <w:t xml:space="preserve"> rite of passage, </w:t>
      </w:r>
      <w:r w:rsidR="002B688A">
        <w:t>it has to meet some particular standards. Firstly, the rite has to</w:t>
      </w:r>
      <w:r w:rsidR="002B688A" w:rsidRPr="00795993">
        <w:t xml:space="preserve"> mark a significant change in a person’s identity in society</w:t>
      </w:r>
      <w:r w:rsidR="002B688A">
        <w:t>. Secondly, it must</w:t>
      </w:r>
      <w:r w:rsidR="002B688A" w:rsidRPr="00795993">
        <w:t xml:space="preserve"> be considered essential to the change, that is, without the ceremony the change has not taken place</w:t>
      </w:r>
      <w:r w:rsidR="002B688A">
        <w:t>. Finally, it must</w:t>
      </w:r>
      <w:r w:rsidR="002B688A" w:rsidRPr="00795993">
        <w:t xml:space="preserve"> include a phase of liminality, no matter how brief, during which he or she is neither in the preceding nor the resultant stage, but is a nonentity within the person’s society</w:t>
      </w:r>
      <w:r w:rsidR="002B688A">
        <w:t>.</w:t>
      </w:r>
      <w:r w:rsidR="002B688A">
        <w:rPr>
          <w:rStyle w:val="FootnoteReference"/>
        </w:rPr>
        <w:footnoteReference w:id="26"/>
      </w:r>
    </w:p>
    <w:p w14:paraId="50F3FE51" w14:textId="68E924CE" w:rsidR="004020BB" w:rsidRDefault="007875DE" w:rsidP="00795993">
      <w:pPr>
        <w:ind w:firstLine="720"/>
      </w:pPr>
      <w:r>
        <w:t xml:space="preserve">Rites of </w:t>
      </w:r>
      <w:r w:rsidR="00FE1AB8">
        <w:t>passage</w:t>
      </w:r>
      <w:r w:rsidR="004020BB">
        <w:t xml:space="preserve"> defin</w:t>
      </w:r>
      <w:r>
        <w:t xml:space="preserve">e the </w:t>
      </w:r>
      <w:r w:rsidR="004020BB">
        <w:t xml:space="preserve">moments in a person’s life. </w:t>
      </w:r>
      <w:r>
        <w:t>Nearly for all, t</w:t>
      </w:r>
      <w:r w:rsidR="00AD227E">
        <w:t xml:space="preserve">hey are what gives a person an identity. In most cultures, there are four stages in which rites are administered. These are birth, puberty, marriage and death. In each of these stages a </w:t>
      </w:r>
      <w:r>
        <w:t>r</w:t>
      </w:r>
      <w:r w:rsidR="004020BB">
        <w:t xml:space="preserve">ite of passages </w:t>
      </w:r>
      <w:r w:rsidR="00AD227E">
        <w:t>is performed to further initiate a person into</w:t>
      </w:r>
      <w:r w:rsidR="004020BB">
        <w:t xml:space="preserve"> the community. Without them, it is safe to say that a person does not belong to such and such community. Corduan notes in certain cultures, babies born are not even considered alive until a </w:t>
      </w:r>
      <w:r w:rsidR="00AD227E">
        <w:t>birth rite</w:t>
      </w:r>
      <w:r w:rsidR="004020BB">
        <w:t xml:space="preserve"> </w:t>
      </w:r>
      <w:r w:rsidR="00AD227E">
        <w:t>is</w:t>
      </w:r>
      <w:r w:rsidR="004020BB">
        <w:t xml:space="preserve"> done.</w:t>
      </w:r>
      <w:r w:rsidR="004020BB">
        <w:rPr>
          <w:rStyle w:val="FootnoteReference"/>
        </w:rPr>
        <w:footnoteReference w:id="27"/>
      </w:r>
      <w:r w:rsidR="002B688A">
        <w:t xml:space="preserve"> Similarly, in some cultures, a male or female is considered a boy or girl, until he is circumcised. If they get circumcised then they are considered as adults. This also can be extrapolated when talking about marriage. Men who are not married </w:t>
      </w:r>
      <w:r w:rsidR="002B688A">
        <w:lastRenderedPageBreak/>
        <w:t>often are considered unworthy of honor no matter how older they get to be. Once they get married, they earn respect to even sit at the table.</w:t>
      </w:r>
    </w:p>
    <w:p w14:paraId="6D148B72" w14:textId="139D96DC" w:rsidR="007927B9" w:rsidRPr="003F7CAE" w:rsidRDefault="007927B9" w:rsidP="0046486E">
      <w:pPr>
        <w:pStyle w:val="Heading2"/>
        <w:rPr>
          <w:rFonts w:cs="Times New Roman"/>
          <w:color w:val="auto"/>
          <w:szCs w:val="24"/>
        </w:rPr>
      </w:pPr>
      <w:bookmarkStart w:id="31" w:name="_Toc80073308"/>
      <w:r w:rsidRPr="003F7CAE">
        <w:rPr>
          <w:rFonts w:cs="Times New Roman"/>
          <w:color w:val="auto"/>
          <w:szCs w:val="24"/>
        </w:rPr>
        <w:t>Rituals</w:t>
      </w:r>
      <w:r w:rsidR="007E430C">
        <w:rPr>
          <w:rFonts w:cs="Times New Roman"/>
          <w:color w:val="auto"/>
          <w:szCs w:val="24"/>
        </w:rPr>
        <w:t xml:space="preserve">, </w:t>
      </w:r>
      <w:r w:rsidRPr="003F7CAE">
        <w:rPr>
          <w:rFonts w:cs="Times New Roman"/>
          <w:color w:val="auto"/>
          <w:szCs w:val="24"/>
        </w:rPr>
        <w:t>Magic</w:t>
      </w:r>
      <w:r w:rsidR="007E430C">
        <w:rPr>
          <w:rFonts w:cs="Times New Roman"/>
          <w:color w:val="auto"/>
          <w:szCs w:val="24"/>
        </w:rPr>
        <w:t xml:space="preserve"> and Witchcraft</w:t>
      </w:r>
      <w:bookmarkEnd w:id="31"/>
    </w:p>
    <w:p w14:paraId="6E29384B" w14:textId="0CD556B6" w:rsidR="007117E8" w:rsidRPr="009D5A61" w:rsidRDefault="002B688A" w:rsidP="007E430C">
      <w:pPr>
        <w:ind w:firstLine="720"/>
      </w:pPr>
      <w:r>
        <w:rPr>
          <w:rFonts w:cs="Times New Roman"/>
          <w:szCs w:val="24"/>
        </w:rPr>
        <w:t xml:space="preserve">Every facet of life in an ATR setting is unarguably characterized by a plethora of rituals. </w:t>
      </w:r>
      <w:r w:rsidR="005F368B">
        <w:rPr>
          <w:rFonts w:cs="Times New Roman"/>
          <w:szCs w:val="24"/>
        </w:rPr>
        <w:t>According to James L. Cox, “R</w:t>
      </w:r>
      <w:r w:rsidR="005F368B">
        <w:t>ituals are thoughtful, deliberate, self - conscious and strategic actions conducted by self -conscious agents as they negotiate a responsible relationship in the human community with the ancestors, spirits, divinities, and cosmos.”</w:t>
      </w:r>
      <w:r w:rsidR="009D5A61" w:rsidRPr="009D5A61">
        <w:rPr>
          <w:rStyle w:val="FootnoteReference"/>
        </w:rPr>
        <w:t xml:space="preserve"> </w:t>
      </w:r>
      <w:r w:rsidR="009D5A61">
        <w:rPr>
          <w:rStyle w:val="FootnoteReference"/>
        </w:rPr>
        <w:footnoteReference w:id="28"/>
      </w:r>
      <w:r w:rsidR="009D5A61">
        <w:t xml:space="preserve"> </w:t>
      </w:r>
      <w:r w:rsidR="009D5A61" w:rsidRPr="00795993">
        <w:t>Yvonne P.</w:t>
      </w:r>
      <w:r w:rsidR="009D5A61">
        <w:t xml:space="preserve"> </w:t>
      </w:r>
      <w:r w:rsidR="009D5A61" w:rsidRPr="00795993">
        <w:t>Chireau</w:t>
      </w:r>
      <w:r w:rsidR="007E430C">
        <w:t xml:space="preserve"> writes</w:t>
      </w:r>
      <w:r w:rsidR="009D5A61">
        <w:t>, “Ritual is the means to negotiate a responsible relationship in the human community, with the ancestors, spirits, divinities, and cosmos.</w:t>
      </w:r>
      <w:r w:rsidR="009D5A61">
        <w:rPr>
          <w:rStyle w:val="FootnoteReference"/>
        </w:rPr>
        <w:footnoteReference w:id="29"/>
      </w:r>
      <w:r w:rsidR="007E430C">
        <w:t xml:space="preserve"> Given that rituals are responsible for how people deal with supernatural beings, it comes as no surprise that most rituals involve the sacrifice of animals. Steyn observes, “E</w:t>
      </w:r>
      <w:r>
        <w:rPr>
          <w:rFonts w:cs="Times New Roman"/>
          <w:szCs w:val="24"/>
        </w:rPr>
        <w:t xml:space="preserve">very </w:t>
      </w:r>
      <w:r w:rsidR="007117E8" w:rsidRPr="003F7CAE">
        <w:rPr>
          <w:rFonts w:cs="Times New Roman"/>
          <w:szCs w:val="24"/>
        </w:rPr>
        <w:t xml:space="preserve">Traditional African </w:t>
      </w:r>
      <w:r w:rsidR="005F368B" w:rsidRPr="003F7CAE">
        <w:rPr>
          <w:rFonts w:cs="Times New Roman"/>
          <w:szCs w:val="24"/>
        </w:rPr>
        <w:t>ritual</w:t>
      </w:r>
      <w:r w:rsidR="007117E8" w:rsidRPr="003F7CAE">
        <w:rPr>
          <w:rFonts w:cs="Times New Roman"/>
          <w:szCs w:val="24"/>
        </w:rPr>
        <w:t xml:space="preserve"> almost always include the sacrifice of an animal. </w:t>
      </w:r>
      <w:r w:rsidR="009D5A61">
        <w:rPr>
          <w:rFonts w:cs="Times New Roman"/>
          <w:szCs w:val="24"/>
        </w:rPr>
        <w:t>This is because b</w:t>
      </w:r>
      <w:r w:rsidR="007117E8" w:rsidRPr="003F7CAE">
        <w:rPr>
          <w:rFonts w:cs="Times New Roman"/>
          <w:szCs w:val="24"/>
        </w:rPr>
        <w:t>lood represents life and in all situations where life is at stake</w:t>
      </w:r>
      <w:r w:rsidR="009D5A61">
        <w:rPr>
          <w:rFonts w:cs="Times New Roman"/>
          <w:szCs w:val="24"/>
        </w:rPr>
        <w:t xml:space="preserve"> it avers that </w:t>
      </w:r>
      <w:r w:rsidR="007117E8" w:rsidRPr="003F7CAE">
        <w:rPr>
          <w:rFonts w:cs="Times New Roman"/>
          <w:szCs w:val="24"/>
        </w:rPr>
        <w:t>the appropriate way of restoring the natural order is through the spilling of blood</w:t>
      </w:r>
      <w:r>
        <w:rPr>
          <w:rFonts w:cs="Times New Roman"/>
          <w:szCs w:val="24"/>
        </w:rPr>
        <w:t>.</w:t>
      </w:r>
      <w:r w:rsidR="007117E8" w:rsidRPr="003F7CAE">
        <w:rPr>
          <w:rStyle w:val="FootnoteReference"/>
          <w:rFonts w:cs="Times New Roman"/>
          <w:sz w:val="24"/>
          <w:szCs w:val="24"/>
        </w:rPr>
        <w:footnoteReference w:id="30"/>
      </w:r>
    </w:p>
    <w:p w14:paraId="0A97FB85" w14:textId="5234240B" w:rsidR="00795993" w:rsidRDefault="007E430C" w:rsidP="007E430C">
      <w:pPr>
        <w:ind w:firstLine="720"/>
        <w:rPr>
          <w:rFonts w:cs="Times New Roman"/>
          <w:szCs w:val="24"/>
        </w:rPr>
      </w:pPr>
      <w:r>
        <w:t>Magic on the other hand is</w:t>
      </w:r>
      <w:r w:rsidRPr="005F368B">
        <w:t xml:space="preserve"> a subset of ritual</w:t>
      </w:r>
      <w:r>
        <w:t>. Winfried Corduan notes that the</w:t>
      </w:r>
      <w:r w:rsidRPr="005F368B">
        <w:t xml:space="preserve"> key difference </w:t>
      </w:r>
      <w:r>
        <w:t>is</w:t>
      </w:r>
      <w:r w:rsidRPr="005F368B">
        <w:t xml:space="preserve"> that magic is directed more immediately toward the spiritual powers.</w:t>
      </w:r>
      <w:r>
        <w:rPr>
          <w:rStyle w:val="FootnoteReference"/>
        </w:rPr>
        <w:footnoteReference w:id="31"/>
      </w:r>
      <w:r w:rsidRPr="005F368B">
        <w:t xml:space="preserve"> </w:t>
      </w:r>
      <w:r>
        <w:rPr>
          <w:rFonts w:cs="Times New Roman"/>
          <w:szCs w:val="24"/>
        </w:rPr>
        <w:t xml:space="preserve">For </w:t>
      </w:r>
      <w:r w:rsidRPr="00795993">
        <w:t>Yvonne P.</w:t>
      </w:r>
      <w:r>
        <w:t xml:space="preserve"> </w:t>
      </w:r>
      <w:r w:rsidRPr="00795993">
        <w:t>Chireau</w:t>
      </w:r>
      <w:r>
        <w:t>, the</w:t>
      </w:r>
      <w:r w:rsidR="00795993" w:rsidRPr="00795993">
        <w:rPr>
          <w:rFonts w:cs="Times New Roman"/>
          <w:szCs w:val="24"/>
        </w:rPr>
        <w:t xml:space="preserve"> term refers to the beliefs and actions by which human beings interact with an invisible reality.</w:t>
      </w:r>
      <w:r w:rsidR="00795993">
        <w:rPr>
          <w:rStyle w:val="FootnoteReference"/>
          <w:rFonts w:cs="Times New Roman"/>
          <w:szCs w:val="24"/>
        </w:rPr>
        <w:footnoteReference w:id="32"/>
      </w:r>
      <w:r w:rsidR="00044B33">
        <w:rPr>
          <w:rFonts w:cs="Times New Roman"/>
          <w:szCs w:val="24"/>
        </w:rPr>
        <w:t xml:space="preserve"> African cultures see magic as both good and bad. Good magic is thought to bring prosperity to the community. Evil magic is intended to harm the community.</w:t>
      </w:r>
    </w:p>
    <w:p w14:paraId="3557AD76" w14:textId="2ED1E7BE" w:rsidR="00044B33" w:rsidRDefault="00044B33" w:rsidP="007E430C">
      <w:pPr>
        <w:ind w:firstLine="720"/>
        <w:rPr>
          <w:rFonts w:cs="Times New Roman"/>
          <w:szCs w:val="24"/>
        </w:rPr>
      </w:pPr>
      <w:r>
        <w:rPr>
          <w:rFonts w:cs="Times New Roman"/>
          <w:szCs w:val="24"/>
        </w:rPr>
        <w:lastRenderedPageBreak/>
        <w:t xml:space="preserve">To understand also African Traditional Religion, one must look at witchcraft.  In most contexts, witchcraft is thought to be irremediably evil. Those who engage in witchcraft are motivated by feelings of jealousy. Africans usually explain all evil events as a result of witchcraft. The concept of natural </w:t>
      </w:r>
      <w:r w:rsidR="003210C1">
        <w:rPr>
          <w:rFonts w:cs="Times New Roman"/>
          <w:szCs w:val="24"/>
        </w:rPr>
        <w:t>death, illness</w:t>
      </w:r>
      <w:r>
        <w:rPr>
          <w:rFonts w:cs="Times New Roman"/>
          <w:szCs w:val="24"/>
        </w:rPr>
        <w:t xml:space="preserve"> or occurrence </w:t>
      </w:r>
      <w:r w:rsidR="00C45470">
        <w:rPr>
          <w:rFonts w:cs="Times New Roman"/>
          <w:szCs w:val="24"/>
        </w:rPr>
        <w:t xml:space="preserve">is not part of the traditional worldview. </w:t>
      </w:r>
    </w:p>
    <w:p w14:paraId="45B44295" w14:textId="39E822AC" w:rsidR="00A24D8D" w:rsidRDefault="00965446" w:rsidP="00A24D8D">
      <w:pPr>
        <w:pStyle w:val="Heading1"/>
      </w:pPr>
      <w:bookmarkStart w:id="32" w:name="_Toc80073309"/>
      <w:r>
        <w:t xml:space="preserve">The Uniqueness </w:t>
      </w:r>
      <w:r w:rsidR="00FE1AB8">
        <w:t xml:space="preserve">and Exclusivity of </w:t>
      </w:r>
      <w:r>
        <w:t>Christ</w:t>
      </w:r>
      <w:r w:rsidR="00332470">
        <w:t xml:space="preserve"> </w:t>
      </w:r>
      <w:r w:rsidR="00FE1AB8">
        <w:t xml:space="preserve">and the </w:t>
      </w:r>
      <w:r w:rsidR="00332470">
        <w:t>Gospel</w:t>
      </w:r>
      <w:bookmarkEnd w:id="32"/>
    </w:p>
    <w:p w14:paraId="509E4F99" w14:textId="49422843" w:rsidR="00332470" w:rsidRDefault="00A24D8D" w:rsidP="00332470">
      <w:pPr>
        <w:ind w:firstLine="720"/>
      </w:pPr>
      <w:r>
        <w:t xml:space="preserve">First and foremost, the thesis of this paper was to recognize the </w:t>
      </w:r>
      <w:r w:rsidR="00332470">
        <w:t>beliefs</w:t>
      </w:r>
      <w:r>
        <w:t xml:space="preserve"> of African Traditional Religion and demonstrate how </w:t>
      </w:r>
      <w:r w:rsidR="00225DEA">
        <w:t>Christianity paints a better picture of who God is</w:t>
      </w:r>
      <w:r>
        <w:t xml:space="preserve">. From the beginning, it has been demonstrated that African Traditional Religion is not only complex but is dynamic in nature. </w:t>
      </w:r>
      <w:r w:rsidR="003C71D6">
        <w:t>Th</w:t>
      </w:r>
      <w:r w:rsidR="00225DEA">
        <w:t xml:space="preserve">e many rituals and practices that vary from tribe to tribe confirm that ATR is not a child’s play. </w:t>
      </w:r>
      <w:r>
        <w:t xml:space="preserve">That said, </w:t>
      </w:r>
      <w:r w:rsidR="00225DEA">
        <w:t xml:space="preserve">ATR </w:t>
      </w:r>
      <w:r>
        <w:t xml:space="preserve">fails to effectively define or describe who God is. </w:t>
      </w:r>
      <w:r w:rsidR="00225DEA">
        <w:t>As discussed, most ATRs p</w:t>
      </w:r>
      <w:r w:rsidR="00332470">
        <w:t>a</w:t>
      </w:r>
      <w:r w:rsidR="00225DEA">
        <w:t>int a picture of a</w:t>
      </w:r>
      <w:r>
        <w:t xml:space="preserve"> God </w:t>
      </w:r>
      <w:r w:rsidR="00225DEA">
        <w:t>who is</w:t>
      </w:r>
      <w:r>
        <w:t xml:space="preserve"> remote and capricious. </w:t>
      </w:r>
      <w:r w:rsidR="00225DEA">
        <w:t>This god</w:t>
      </w:r>
      <w:r>
        <w:t xml:space="preserve"> neither welcomes disturbance nor friendship. </w:t>
      </w:r>
      <w:r w:rsidR="00225DEA">
        <w:t>He is</w:t>
      </w:r>
      <w:r w:rsidR="00332470">
        <w:t xml:space="preserve"> transcendent and far</w:t>
      </w:r>
      <w:r w:rsidR="00225DEA">
        <w:t xml:space="preserve"> away in the sky. </w:t>
      </w:r>
      <w:r>
        <w:t xml:space="preserve">His relationship with his subjects is often cold and unfriendly.  Comparing that with Christianity, </w:t>
      </w:r>
      <w:r w:rsidR="00332470">
        <w:t>Jesus Christ is</w:t>
      </w:r>
      <w:r>
        <w:t xml:space="preserve"> </w:t>
      </w:r>
      <w:r w:rsidR="003C71D6">
        <w:t xml:space="preserve">personal. He thinks, acts, knows and interacts with his creation. </w:t>
      </w:r>
      <w:r w:rsidR="009D699F">
        <w:t xml:space="preserve">He is </w:t>
      </w:r>
      <w:r w:rsidR="00225DEA">
        <w:t xml:space="preserve">ever present. </w:t>
      </w:r>
      <w:r w:rsidR="00332470">
        <w:t>Matthew 28:20</w:t>
      </w:r>
      <w:r w:rsidR="001A3D8D">
        <w:t xml:space="preserve"> </w:t>
      </w:r>
      <w:r w:rsidR="009D699F">
        <w:t>says that he promised his</w:t>
      </w:r>
      <w:r w:rsidR="00332470">
        <w:t xml:space="preserve"> disciples that he will be with them to the ends of the age. </w:t>
      </w:r>
      <w:r>
        <w:t>Given his nature, he communicates with his people in ways that are clear and understandabl</w:t>
      </w:r>
      <w:r w:rsidR="009D699F">
        <w:t>e</w:t>
      </w:r>
      <w:r>
        <w:t xml:space="preserve">. </w:t>
      </w:r>
    </w:p>
    <w:p w14:paraId="6128B6AD" w14:textId="73B2A324" w:rsidR="00EC3256" w:rsidRPr="007E430C" w:rsidRDefault="00332470" w:rsidP="000E33DC">
      <w:pPr>
        <w:ind w:firstLine="720"/>
      </w:pPr>
      <w:r>
        <w:t>Jesus’</w:t>
      </w:r>
      <w:r w:rsidR="00A24D8D">
        <w:t xml:space="preserve"> attributes</w:t>
      </w:r>
      <w:r w:rsidR="003C71D6">
        <w:t xml:space="preserve"> also set him apart from ATR gods. He is</w:t>
      </w:r>
      <w:r w:rsidR="00A24D8D">
        <w:t xml:space="preserve"> omnipotent, omnipresent, and omniscient</w:t>
      </w:r>
      <w:r w:rsidR="007B5BCD">
        <w:t xml:space="preserve">; </w:t>
      </w:r>
      <w:r w:rsidR="003C71D6">
        <w:t xml:space="preserve">to mean that he is </w:t>
      </w:r>
      <w:r>
        <w:t xml:space="preserve">all-powerful, everywhere and all-knowing. </w:t>
      </w:r>
      <w:r w:rsidR="002F4B07">
        <w:t xml:space="preserve">This cannot be said about the </w:t>
      </w:r>
      <w:r w:rsidR="00A24D8D">
        <w:t xml:space="preserve">African Traditional Religion’s </w:t>
      </w:r>
      <w:r w:rsidR="002F4B07">
        <w:t>god(s)</w:t>
      </w:r>
      <w:r w:rsidR="00A24D8D">
        <w:t xml:space="preserve">. </w:t>
      </w:r>
      <w:r w:rsidR="002F4B07">
        <w:t>For example, t</w:t>
      </w:r>
      <w:r w:rsidR="00A24D8D">
        <w:t xml:space="preserve">he Agikuyu Ngai is touted to be </w:t>
      </w:r>
      <w:r w:rsidR="002F4B07">
        <w:t>residing in</w:t>
      </w:r>
      <w:r w:rsidR="00A24D8D">
        <w:t xml:space="preserve"> Mt. Kirinyaga. Whenever the Agikuyu pray, they must face that mountain. </w:t>
      </w:r>
      <w:r w:rsidR="003C71D6">
        <w:t xml:space="preserve">In other words, </w:t>
      </w:r>
      <w:r w:rsidR="002F4B07">
        <w:t>Ngai</w:t>
      </w:r>
      <w:r w:rsidR="003C71D6">
        <w:t xml:space="preserve"> is </w:t>
      </w:r>
      <w:r w:rsidR="002F4B07">
        <w:t>confined to Mt Kirinyaga. When it comes to Jesus,</w:t>
      </w:r>
      <w:r w:rsidR="00A24D8D">
        <w:t xml:space="preserve"> He is everywhere. Wherever a </w:t>
      </w:r>
      <w:r w:rsidR="00A24D8D">
        <w:lastRenderedPageBreak/>
        <w:t>person is, they can pray to him and he will hear.</w:t>
      </w:r>
      <w:r w:rsidR="002F4B07">
        <w:t xml:space="preserve"> Furthermore, the full divinity and full humanity of Jesus sets him apart from other ATR gods. Todd Miles asserts, “</w:t>
      </w:r>
      <w:r w:rsidR="002F4B07" w:rsidRPr="002F4B07">
        <w:t>Viewing Jesus in this way has the benefits of avoiding “the problems of incoherence in the language of pre-existence,” “rescues Christianity from embarrassment in an age of radical historical consciousness . . . (and) releases him to make his impact afresh in the dialogue, at the important level of religious experience.”</w:t>
      </w:r>
      <w:r w:rsidR="002F4B07">
        <w:rPr>
          <w:rStyle w:val="FootnoteReference"/>
        </w:rPr>
        <w:footnoteReference w:id="33"/>
      </w:r>
      <w:r w:rsidR="003C71D6">
        <w:t xml:space="preserve"> Because Christ is divine, he lived a sinless life. Because he </w:t>
      </w:r>
      <w:r w:rsidR="001A3D8D">
        <w:t>i</w:t>
      </w:r>
      <w:r w:rsidR="003C71D6">
        <w:t>s human</w:t>
      </w:r>
      <w:r w:rsidR="001A3D8D">
        <w:t>,</w:t>
      </w:r>
      <w:r w:rsidR="003C71D6">
        <w:t xml:space="preserve"> he understand</w:t>
      </w:r>
      <w:r w:rsidR="001A3D8D">
        <w:t>s</w:t>
      </w:r>
      <w:r w:rsidR="003C71D6">
        <w:t xml:space="preserve"> what people go through. This clearly sets him apart from the ATR gods who are far detached from human suffering.</w:t>
      </w:r>
    </w:p>
    <w:p w14:paraId="34990013" w14:textId="7E1BD8D7" w:rsidR="002F4B07" w:rsidRDefault="003210C1" w:rsidP="009D699F">
      <w:pPr>
        <w:ind w:firstLine="720"/>
      </w:pPr>
      <w:r>
        <w:t xml:space="preserve">Furthermore, many African traditions are </w:t>
      </w:r>
      <w:r w:rsidR="001A3D8D">
        <w:t>syncretic</w:t>
      </w:r>
      <w:r>
        <w:t xml:space="preserve">. </w:t>
      </w:r>
      <w:r w:rsidR="003C71D6">
        <w:t>This means t</w:t>
      </w:r>
      <w:r>
        <w:t>hey have no problem worshipping more than one god at the same time.</w:t>
      </w:r>
      <w:r w:rsidR="003C71D6">
        <w:t xml:space="preserve"> </w:t>
      </w:r>
      <w:r w:rsidR="001A3D8D">
        <w:t xml:space="preserve">The problem with this is that sometimes the gods they worship might be equally opposed to each other. </w:t>
      </w:r>
      <w:r w:rsidR="003C71D6">
        <w:t>A practical example is that</w:t>
      </w:r>
      <w:r>
        <w:t xml:space="preserve"> </w:t>
      </w:r>
      <w:r w:rsidR="007B5BCD">
        <w:t>a</w:t>
      </w:r>
      <w:r>
        <w:t xml:space="preserve">n ATR faithful may claim to be Christian but he or she goes to consult witch doctors. Other times they might </w:t>
      </w:r>
      <w:r w:rsidR="00594FDB">
        <w:t xml:space="preserve">be </w:t>
      </w:r>
      <w:r>
        <w:t xml:space="preserve">saved </w:t>
      </w:r>
      <w:r w:rsidR="00594FDB">
        <w:t>and</w:t>
      </w:r>
      <w:r>
        <w:t xml:space="preserve"> love Jesus but during rites of passage, they will fully indulge in the worship of ancestors. </w:t>
      </w:r>
      <w:r w:rsidR="00594FDB">
        <w:t>The</w:t>
      </w:r>
      <w:r w:rsidR="00FE1AB8">
        <w:t>se problems do not arise in Christianity as the</w:t>
      </w:r>
      <w:r w:rsidR="00594FDB">
        <w:t xml:space="preserve"> gospel is exclusive. </w:t>
      </w:r>
      <w:r w:rsidR="00FE1AB8">
        <w:t xml:space="preserve">For the Christians, the </w:t>
      </w:r>
      <w:r w:rsidR="002F4B07">
        <w:t xml:space="preserve">message </w:t>
      </w:r>
      <w:r w:rsidR="00FE1AB8">
        <w:t xml:space="preserve">is clear: </w:t>
      </w:r>
      <w:r w:rsidR="00594FDB">
        <w:t>Jesus is the way, the truth and the life. No one comes to the father except through him (John 14:6).</w:t>
      </w:r>
    </w:p>
    <w:p w14:paraId="72959FD0" w14:textId="26215BD8" w:rsidR="001F4B75" w:rsidRDefault="001F4B75" w:rsidP="001F4B75">
      <w:pPr>
        <w:pStyle w:val="Heading1"/>
        <w:rPr>
          <w:rFonts w:cs="Times New Roman"/>
          <w:color w:val="auto"/>
          <w:szCs w:val="24"/>
        </w:rPr>
      </w:pPr>
      <w:bookmarkStart w:id="33" w:name="_Toc80073310"/>
      <w:r w:rsidRPr="003F7CAE">
        <w:rPr>
          <w:rFonts w:cs="Times New Roman"/>
          <w:color w:val="auto"/>
          <w:szCs w:val="24"/>
        </w:rPr>
        <w:t>Conclusion</w:t>
      </w:r>
      <w:bookmarkEnd w:id="33"/>
    </w:p>
    <w:p w14:paraId="19142250" w14:textId="10BACD65" w:rsidR="00EA0F8C" w:rsidRDefault="000E33DC" w:rsidP="000E33DC">
      <w:pPr>
        <w:ind w:firstLine="720"/>
      </w:pPr>
      <w:r>
        <w:t xml:space="preserve">In closing, this paper </w:t>
      </w:r>
      <w:r w:rsidR="00EA0F8C">
        <w:t>averred</w:t>
      </w:r>
      <w:r>
        <w:t xml:space="preserve"> to explain in detail what African Traditional Religion is all about. By examining the supernatural beings, worship and philosophy of life, the paper established that ATR is not primitive, childish or foolish as</w:t>
      </w:r>
      <w:r w:rsidR="0081498C">
        <w:t xml:space="preserve"> it has traditionally been believed</w:t>
      </w:r>
      <w:r>
        <w:t xml:space="preserve">.. That said, the thesis of this paper was to </w:t>
      </w:r>
      <w:r w:rsidR="0081498C">
        <w:t xml:space="preserve">prove that though ATR is replete with sacred religious </w:t>
      </w:r>
      <w:r w:rsidR="0081498C">
        <w:lastRenderedPageBreak/>
        <w:t>symbols and varied</w:t>
      </w:r>
      <w:r w:rsidR="007B5BCD">
        <w:t xml:space="preserve"> systems</w:t>
      </w:r>
      <w:r w:rsidR="00EA0F8C">
        <w:t>, Christianity</w:t>
      </w:r>
      <w:r w:rsidR="0081498C">
        <w:t xml:space="preserve"> paints a better picture of who God is</w:t>
      </w:r>
      <w:r w:rsidR="00EA0F8C">
        <w:t xml:space="preserve">. Finally, the paper </w:t>
      </w:r>
      <w:r w:rsidR="007B5BCD">
        <w:t xml:space="preserve">further </w:t>
      </w:r>
      <w:r w:rsidR="00EA0F8C">
        <w:t xml:space="preserve">postulates sharing the gospel with an ATR faithful must first begin by appreciating </w:t>
      </w:r>
      <w:r w:rsidR="0081498C">
        <w:t xml:space="preserve">their </w:t>
      </w:r>
      <w:r w:rsidR="00EA0F8C">
        <w:t>culture. In the word</w:t>
      </w:r>
      <w:r w:rsidR="0081498C">
        <w:t>s</w:t>
      </w:r>
      <w:r w:rsidR="00EA0F8C">
        <w:t xml:space="preserve"> of Winfried Corduan, </w:t>
      </w:r>
    </w:p>
    <w:p w14:paraId="68CD3E8A" w14:textId="0E8F6232" w:rsidR="00760C48" w:rsidRDefault="00EA0F8C" w:rsidP="00EA0F8C">
      <w:pPr>
        <w:spacing w:line="240" w:lineRule="auto"/>
        <w:ind w:left="720"/>
      </w:pPr>
      <w:r w:rsidRPr="00EA0F8C">
        <w:t>First of all, the evangelist must discern the gospel message in its biblical setting. Second, as far as is humanly possible, the evangelist must make sure that nothing in his or her culture obscures or supplants the gospel message. Third, the evangelist has to convey the message in such a way that the gospel is intelligible to the receptor’s culture and in such a way that the receptor can also trace his or her understanding of the gospel back to the biblical message itself.</w:t>
      </w:r>
      <w:r>
        <w:rPr>
          <w:rStyle w:val="FootnoteReference"/>
        </w:rPr>
        <w:footnoteReference w:id="34"/>
      </w:r>
    </w:p>
    <w:p w14:paraId="6F0E5799" w14:textId="577F583C" w:rsidR="000E33DC" w:rsidRPr="00760C48" w:rsidRDefault="000E33DC" w:rsidP="00760C48">
      <w:r>
        <w:br w:type="page"/>
      </w:r>
    </w:p>
    <w:p w14:paraId="3B888F0C" w14:textId="24CF53B5" w:rsidR="00DD7DF3" w:rsidRPr="003F7CAE" w:rsidRDefault="00DD7DF3" w:rsidP="00F35DFA">
      <w:pPr>
        <w:pStyle w:val="Heading1"/>
        <w:rPr>
          <w:rFonts w:cs="Times New Roman"/>
          <w:color w:val="auto"/>
          <w:szCs w:val="24"/>
        </w:rPr>
      </w:pPr>
      <w:bookmarkStart w:id="34" w:name="_Toc80073311"/>
      <w:r w:rsidRPr="003F7CAE">
        <w:rPr>
          <w:rFonts w:cs="Times New Roman"/>
          <w:color w:val="auto"/>
          <w:szCs w:val="24"/>
        </w:rPr>
        <w:lastRenderedPageBreak/>
        <w:t>Bibliography</w:t>
      </w:r>
      <w:bookmarkEnd w:id="34"/>
    </w:p>
    <w:p w14:paraId="59D92E39" w14:textId="77777777" w:rsidR="001A3D8D" w:rsidRPr="001A3D8D" w:rsidRDefault="001A3D8D" w:rsidP="00AF22CA">
      <w:pPr>
        <w:pStyle w:val="NormalWeb"/>
        <w:shd w:val="clear" w:color="auto" w:fill="FFFFFF"/>
        <w:spacing w:before="0" w:beforeAutospacing="0" w:after="240" w:afterAutospacing="0"/>
        <w:ind w:left="720" w:hanging="720"/>
      </w:pPr>
      <w:r w:rsidRPr="001A3D8D">
        <w:t xml:space="preserve">Allman, Jean and John Parker, Tongnaab. </w:t>
      </w:r>
      <w:r w:rsidRPr="001A3D8D">
        <w:rPr>
          <w:i/>
          <w:iCs/>
        </w:rPr>
        <w:t>The History of a West African God</w:t>
      </w:r>
      <w:r w:rsidRPr="001A3D8D">
        <w:t>. Bloomington and Indianapolis: Indiana University Press, 2005.</w:t>
      </w:r>
    </w:p>
    <w:p w14:paraId="7BCF37EA" w14:textId="77777777" w:rsidR="001A3D8D" w:rsidRPr="001A3D8D" w:rsidRDefault="001A3D8D" w:rsidP="003D768F">
      <w:pPr>
        <w:pStyle w:val="NormalWeb"/>
        <w:shd w:val="clear" w:color="auto" w:fill="FFFFFF"/>
        <w:spacing w:before="0" w:beforeAutospacing="0" w:after="240" w:afterAutospacing="0"/>
        <w:ind w:left="720" w:hanging="720"/>
      </w:pPr>
      <w:r w:rsidRPr="001A3D8D">
        <w:t xml:space="preserve">Chireau, Yvonne P.. </w:t>
      </w:r>
      <w:r w:rsidRPr="001A3D8D">
        <w:rPr>
          <w:i/>
          <w:iCs/>
        </w:rPr>
        <w:t>Black Magic: Religion and the African American Conjuring Tradition</w:t>
      </w:r>
      <w:r w:rsidRPr="001A3D8D">
        <w:t>. Berkeley: University of California Press, 2003.</w:t>
      </w:r>
    </w:p>
    <w:p w14:paraId="57A10BD6" w14:textId="77777777" w:rsidR="001A3D8D" w:rsidRPr="001A3D8D" w:rsidRDefault="001A3D8D" w:rsidP="003D768F">
      <w:pPr>
        <w:pStyle w:val="NormalWeb"/>
        <w:shd w:val="clear" w:color="auto" w:fill="FFFFFF"/>
        <w:spacing w:before="0" w:beforeAutospacing="0" w:after="240" w:afterAutospacing="0"/>
        <w:ind w:left="720" w:hanging="720"/>
      </w:pPr>
      <w:bookmarkStart w:id="35" w:name="_Hlk80051634"/>
      <w:r w:rsidRPr="001A3D8D">
        <w:t xml:space="preserve">Chitando, Ezra. </w:t>
      </w:r>
      <w:r w:rsidRPr="001A3D8D">
        <w:rPr>
          <w:i/>
          <w:iCs/>
        </w:rPr>
        <w:t>African Traditions in the Study of Religion, Diaspora and Gendered Societies.</w:t>
      </w:r>
      <w:r w:rsidRPr="001A3D8D">
        <w:t xml:space="preserve"> London: Taylor &amp; Francis Group, 2013.</w:t>
      </w:r>
    </w:p>
    <w:p w14:paraId="584FE616" w14:textId="77777777" w:rsidR="001A3D8D" w:rsidRPr="001A3D8D" w:rsidRDefault="001A3D8D" w:rsidP="00B82D3F">
      <w:pPr>
        <w:pStyle w:val="NormalWeb"/>
        <w:shd w:val="clear" w:color="auto" w:fill="FFFFFF"/>
        <w:spacing w:before="0" w:beforeAutospacing="0" w:after="240" w:afterAutospacing="0"/>
        <w:ind w:left="720" w:hanging="720"/>
      </w:pPr>
      <w:bookmarkStart w:id="36" w:name="_Hlk79886203"/>
      <w:bookmarkEnd w:id="35"/>
      <w:r w:rsidRPr="001A3D8D">
        <w:t>Corduan, Winfried. </w:t>
      </w:r>
      <w:r w:rsidRPr="001A3D8D">
        <w:rPr>
          <w:rStyle w:val="Emphasis"/>
          <w:rFonts w:eastAsiaTheme="majorEastAsia"/>
        </w:rPr>
        <w:t>Neighboring Faiths: A Christian Introduction to World Religions</w:t>
      </w:r>
      <w:r w:rsidRPr="001A3D8D">
        <w:t>. 2nd ed. Downers Grove: InterVarsity Press, 2012.</w:t>
      </w:r>
    </w:p>
    <w:p w14:paraId="0C3AAF90" w14:textId="77777777" w:rsidR="001A3D8D" w:rsidRPr="001A3D8D" w:rsidRDefault="001A3D8D" w:rsidP="003D768F">
      <w:pPr>
        <w:pStyle w:val="NormalWeb"/>
        <w:shd w:val="clear" w:color="auto" w:fill="FFFFFF"/>
        <w:spacing w:before="0" w:beforeAutospacing="0" w:after="240" w:afterAutospacing="0"/>
        <w:ind w:left="720" w:hanging="720"/>
      </w:pPr>
      <w:bookmarkStart w:id="37" w:name="_Hlk80055000"/>
      <w:r w:rsidRPr="001A3D8D">
        <w:t xml:space="preserve">Cox, James L. “Methodological Perspectives in African Religions.” In </w:t>
      </w:r>
      <w:r w:rsidRPr="001A3D8D">
        <w:rPr>
          <w:i/>
          <w:iCs/>
        </w:rPr>
        <w:t>The Wiley-Blackwell Companion to African Religions</w:t>
      </w:r>
      <w:r w:rsidRPr="001A3D8D">
        <w:t>. Edited by Elias Kifon Bongmba Malden, MA: Wiley-Blackwell, 2012, 6-137.</w:t>
      </w:r>
    </w:p>
    <w:bookmarkEnd w:id="37"/>
    <w:p w14:paraId="426DEB6C" w14:textId="77777777" w:rsidR="001A3D8D" w:rsidRPr="001A3D8D" w:rsidRDefault="001A3D8D" w:rsidP="004020BB">
      <w:pPr>
        <w:pStyle w:val="NormalWeb"/>
        <w:shd w:val="clear" w:color="auto" w:fill="FFFFFF"/>
        <w:spacing w:before="0" w:beforeAutospacing="0" w:after="240" w:afterAutospacing="0"/>
        <w:ind w:left="720" w:hanging="720"/>
        <w:rPr>
          <w:b/>
          <w:bCs/>
        </w:rPr>
      </w:pPr>
      <w:r w:rsidRPr="001A3D8D">
        <w:rPr>
          <w:color w:val="212529"/>
        </w:rPr>
        <w:t xml:space="preserve">Miles, Todd “Chapter One” In </w:t>
      </w:r>
      <w:r w:rsidRPr="001A3D8D">
        <w:rPr>
          <w:rStyle w:val="Emphasis"/>
          <w:rFonts w:eastAsiaTheme="majorEastAsia"/>
          <w:color w:val="212529"/>
        </w:rPr>
        <w:t>A God of Many Understandings?</w:t>
      </w:r>
      <w:r w:rsidRPr="001A3D8D">
        <w:rPr>
          <w:color w:val="212529"/>
        </w:rPr>
        <w:t> (Nashville: Broadman and Holman Publishing House, 2010).</w:t>
      </w:r>
    </w:p>
    <w:bookmarkEnd w:id="36"/>
    <w:p w14:paraId="0DED6C59" w14:textId="6ED1263A" w:rsidR="001A3D8D" w:rsidRPr="001A3D8D" w:rsidRDefault="001A3D8D" w:rsidP="004020BB">
      <w:pPr>
        <w:pStyle w:val="NormalWeb"/>
        <w:shd w:val="clear" w:color="auto" w:fill="FFFFFF"/>
        <w:spacing w:before="0" w:beforeAutospacing="0" w:after="240" w:afterAutospacing="0"/>
        <w:ind w:left="720" w:hanging="720"/>
      </w:pPr>
      <w:r w:rsidRPr="001A3D8D">
        <w:t xml:space="preserve">Mudimbe, V.Y. and Susan Mbula Kilonzo “Philosophy of Religion in African Ways of Living.” In </w:t>
      </w:r>
      <w:r w:rsidRPr="001A3D8D">
        <w:rPr>
          <w:i/>
          <w:iCs/>
        </w:rPr>
        <w:t>The Wiley-Blackwell Companion to African Religions</w:t>
      </w:r>
      <w:r w:rsidRPr="001A3D8D">
        <w:t>. Edited by Elias Kifon Bongmba Malden, MA: Wiley-Blackwell, 2012, 41-</w:t>
      </w:r>
      <w:r w:rsidR="004D2F64">
        <w:t xml:space="preserve"> 65.</w:t>
      </w:r>
    </w:p>
    <w:p w14:paraId="68624B33" w14:textId="77777777" w:rsidR="001A3D8D" w:rsidRPr="001A3D8D" w:rsidRDefault="001A3D8D" w:rsidP="00AF22CA">
      <w:pPr>
        <w:pStyle w:val="NormalWeb"/>
        <w:shd w:val="clear" w:color="auto" w:fill="FFFFFF"/>
        <w:spacing w:before="0" w:beforeAutospacing="0" w:after="240" w:afterAutospacing="0"/>
        <w:ind w:left="720" w:hanging="720"/>
      </w:pPr>
      <w:r w:rsidRPr="001A3D8D">
        <w:t xml:space="preserve">Nation Africa, “Reverend Who Went Back to African Religious Roots” </w:t>
      </w:r>
      <w:r w:rsidRPr="001A3D8D">
        <w:rPr>
          <w:i/>
          <w:iCs/>
        </w:rPr>
        <w:t>Daily Monitor,</w:t>
      </w:r>
      <w:r w:rsidRPr="001A3D8D">
        <w:t xml:space="preserve"> July 04, 2021. https://www.monitor.co.ug/uganda/magazines/life/reverend-who-went-back-to-african-religious-roots-3460864</w:t>
      </w:r>
    </w:p>
    <w:p w14:paraId="1DEBDE90" w14:textId="77777777" w:rsidR="001A3D8D" w:rsidRPr="001A3D8D" w:rsidRDefault="001A3D8D" w:rsidP="003D768F">
      <w:pPr>
        <w:pStyle w:val="NormalWeb"/>
        <w:shd w:val="clear" w:color="auto" w:fill="FFFFFF"/>
        <w:spacing w:before="0" w:beforeAutospacing="0" w:after="240" w:afterAutospacing="0"/>
        <w:ind w:left="720" w:hanging="720"/>
      </w:pPr>
      <w:r w:rsidRPr="001A3D8D">
        <w:t xml:space="preserve">Steyn, Christina H. “A New Look at New Age in South Africa.” </w:t>
      </w:r>
      <w:r w:rsidRPr="001A3D8D">
        <w:rPr>
          <w:i/>
          <w:iCs/>
        </w:rPr>
        <w:t>Religion &amp; theology = Religie &amp; teologie:</w:t>
      </w:r>
      <w:r w:rsidRPr="001A3D8D">
        <w:t> </w:t>
      </w:r>
      <w:r w:rsidRPr="001A3D8D">
        <w:rPr>
          <w:i/>
          <w:iCs/>
        </w:rPr>
        <w:t xml:space="preserve"> R &amp; T</w:t>
      </w:r>
      <w:r w:rsidRPr="001A3D8D">
        <w:t>. 14, no. 3-4 (2007): 265–283.</w:t>
      </w:r>
    </w:p>
    <w:p w14:paraId="7CC5F787" w14:textId="77777777" w:rsidR="001A3D8D" w:rsidRPr="001A3D8D" w:rsidRDefault="001A3D8D" w:rsidP="003D768F">
      <w:pPr>
        <w:pStyle w:val="NormalWeb"/>
        <w:shd w:val="clear" w:color="auto" w:fill="FFFFFF"/>
        <w:spacing w:before="0" w:beforeAutospacing="0" w:after="240" w:afterAutospacing="0"/>
        <w:ind w:left="720" w:hanging="720"/>
      </w:pPr>
      <w:r w:rsidRPr="001A3D8D">
        <w:t xml:space="preserve">Tagwirei, Cuthbeth. "The ‘Horror’ of African Spirituality." </w:t>
      </w:r>
      <w:r w:rsidRPr="001A3D8D">
        <w:rPr>
          <w:i/>
          <w:iCs/>
        </w:rPr>
        <w:t>Research in African Literatures</w:t>
      </w:r>
      <w:r w:rsidRPr="001A3D8D">
        <w:t xml:space="preserve"> 48, no. 2 (2017): 22-36.</w:t>
      </w:r>
    </w:p>
    <w:p w14:paraId="51B5DF3E" w14:textId="77777777" w:rsidR="001A3D8D" w:rsidRPr="001A3D8D" w:rsidRDefault="001A3D8D" w:rsidP="003B151C">
      <w:pPr>
        <w:pStyle w:val="NormalWeb"/>
        <w:shd w:val="clear" w:color="auto" w:fill="FFFFFF"/>
        <w:spacing w:before="0" w:beforeAutospacing="0" w:after="240" w:afterAutospacing="0"/>
        <w:ind w:left="720" w:hanging="720"/>
      </w:pPr>
      <w:r w:rsidRPr="001A3D8D">
        <w:t xml:space="preserve">Westerlund, David.  </w:t>
      </w:r>
      <w:r w:rsidRPr="001A3D8D">
        <w:rPr>
          <w:i/>
          <w:iCs/>
        </w:rPr>
        <w:t>African Indigenous Religions and Disease Causation. From Spiritual Beings to Living Humans</w:t>
      </w:r>
      <w:r w:rsidRPr="001A3D8D">
        <w:t>. Leiden and Boston: Brill, 2006.</w:t>
      </w:r>
    </w:p>
    <w:p w14:paraId="553E8281" w14:textId="77777777" w:rsidR="004020BB" w:rsidRPr="003F7CAE" w:rsidRDefault="004020BB" w:rsidP="003B151C">
      <w:pPr>
        <w:pStyle w:val="NormalWeb"/>
        <w:shd w:val="clear" w:color="auto" w:fill="FFFFFF"/>
        <w:spacing w:before="0" w:beforeAutospacing="0" w:after="240" w:afterAutospacing="0"/>
        <w:ind w:left="720" w:hanging="720"/>
      </w:pPr>
    </w:p>
    <w:p w14:paraId="1BFD2FB0" w14:textId="77777777" w:rsidR="00CB634F" w:rsidRPr="003F7CAE" w:rsidRDefault="00CB634F" w:rsidP="003B151C">
      <w:pPr>
        <w:pStyle w:val="NormalWeb"/>
        <w:shd w:val="clear" w:color="auto" w:fill="FFFFFF"/>
        <w:spacing w:before="0" w:beforeAutospacing="0" w:after="240" w:afterAutospacing="0"/>
        <w:ind w:left="720" w:hanging="720"/>
      </w:pPr>
    </w:p>
    <w:p w14:paraId="4AE538F5" w14:textId="07222EF3" w:rsidR="003B151C" w:rsidRPr="003F7CAE" w:rsidRDefault="003B151C" w:rsidP="003B151C">
      <w:pPr>
        <w:spacing w:after="240" w:line="240" w:lineRule="auto"/>
        <w:ind w:left="720" w:hanging="720"/>
        <w:rPr>
          <w:rFonts w:cs="Times New Roman"/>
          <w:szCs w:val="24"/>
        </w:rPr>
      </w:pPr>
    </w:p>
    <w:sectPr w:rsidR="003B151C" w:rsidRPr="003F7CAE" w:rsidSect="00A36B5C">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5FC94" w14:textId="77777777" w:rsidR="000A2C52" w:rsidRDefault="000A2C52" w:rsidP="00DF7AA0">
      <w:pPr>
        <w:spacing w:line="240" w:lineRule="auto"/>
      </w:pPr>
      <w:r>
        <w:separator/>
      </w:r>
    </w:p>
  </w:endnote>
  <w:endnote w:type="continuationSeparator" w:id="0">
    <w:p w14:paraId="4380A8D6" w14:textId="77777777" w:rsidR="000A2C52" w:rsidRDefault="000A2C52"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ED27B4" w:rsidRDefault="00ED27B4">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ED27B4" w:rsidRDefault="00ED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ED27B4" w:rsidRPr="000270DC" w:rsidRDefault="00ED27B4"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E51C" w14:textId="77777777" w:rsidR="00ED27B4" w:rsidRPr="004B3ACC" w:rsidRDefault="00ED27B4"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ED27B4" w:rsidRDefault="00ED27B4"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ED27B4" w:rsidRDefault="000A2C52"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7A2AB" w14:textId="77777777" w:rsidR="000A2C52" w:rsidRDefault="000A2C52" w:rsidP="00DF7AA0">
      <w:pPr>
        <w:spacing w:line="240" w:lineRule="auto"/>
      </w:pPr>
      <w:r>
        <w:separator/>
      </w:r>
    </w:p>
  </w:footnote>
  <w:footnote w:type="continuationSeparator" w:id="0">
    <w:p w14:paraId="4EEDFF9C" w14:textId="77777777" w:rsidR="000A2C52" w:rsidRDefault="000A2C52" w:rsidP="00DF7AA0">
      <w:pPr>
        <w:spacing w:line="240" w:lineRule="auto"/>
      </w:pPr>
      <w:r>
        <w:continuationSeparator/>
      </w:r>
    </w:p>
  </w:footnote>
  <w:footnote w:id="1">
    <w:p w14:paraId="46D521B8" w14:textId="61DA770B" w:rsidR="00C07D4C" w:rsidRDefault="00C07D4C">
      <w:pPr>
        <w:pStyle w:val="FootnoteText"/>
      </w:pPr>
      <w:r>
        <w:rPr>
          <w:rStyle w:val="FootnoteReference"/>
        </w:rPr>
        <w:footnoteRef/>
      </w:r>
      <w:r>
        <w:t xml:space="preserve"> Nation Africa, “Reverend Who Went Back to African Religious Roots” </w:t>
      </w:r>
      <w:r w:rsidRPr="00C07D4C">
        <w:rPr>
          <w:i/>
          <w:iCs/>
        </w:rPr>
        <w:t>Daily Monitor,</w:t>
      </w:r>
      <w:r>
        <w:t xml:space="preserve"> July 04, 2021. </w:t>
      </w:r>
      <w:r w:rsidRPr="00C07D4C">
        <w:t>https://www.monitor.co.ug/uganda/magazines/life/reverend-who-went-back-to-african-religious-roots-3460864</w:t>
      </w:r>
    </w:p>
  </w:footnote>
  <w:footnote w:id="2">
    <w:p w14:paraId="7D32603A" w14:textId="0C830A25" w:rsidR="00FD24A8" w:rsidRDefault="00FD24A8">
      <w:pPr>
        <w:pStyle w:val="FootnoteText"/>
      </w:pPr>
      <w:r>
        <w:rPr>
          <w:rStyle w:val="FootnoteReference"/>
        </w:rPr>
        <w:footnoteRef/>
      </w:r>
      <w:r>
        <w:t xml:space="preserve"> </w:t>
      </w:r>
      <w:bookmarkStart w:id="23" w:name="_Hlk79861263"/>
      <w:r w:rsidRPr="00D579D1">
        <w:rPr>
          <w:color w:val="212529"/>
        </w:rPr>
        <w:t>Winfried Corduan, </w:t>
      </w:r>
      <w:r w:rsidRPr="00D579D1">
        <w:rPr>
          <w:rStyle w:val="Emphasis"/>
          <w:color w:val="212529"/>
        </w:rPr>
        <w:t>Neighboring Faiths: A Christian Introduction to World Religions</w:t>
      </w:r>
      <w:r w:rsidRPr="00D579D1">
        <w:rPr>
          <w:color w:val="212529"/>
        </w:rPr>
        <w:t>. 2nd ed. (Downers Grove: InterVarsity Press, 2012),</w:t>
      </w:r>
      <w:r>
        <w:rPr>
          <w:color w:val="212529"/>
        </w:rPr>
        <w:t xml:space="preserve"> 207.</w:t>
      </w:r>
      <w:bookmarkEnd w:id="23"/>
    </w:p>
  </w:footnote>
  <w:footnote w:id="3">
    <w:p w14:paraId="33F371EA" w14:textId="10461232" w:rsidR="005E07D6" w:rsidRDefault="005E07D6">
      <w:pPr>
        <w:pStyle w:val="FootnoteText"/>
      </w:pPr>
      <w:r>
        <w:rPr>
          <w:rStyle w:val="FootnoteReference"/>
        </w:rPr>
        <w:footnoteRef/>
      </w:r>
      <w:r>
        <w:t xml:space="preserve"> Jean Allman and John Parker, Tongnaab. </w:t>
      </w:r>
      <w:r w:rsidRPr="00C0592A">
        <w:rPr>
          <w:i/>
          <w:iCs/>
        </w:rPr>
        <w:t>The History of a West African God</w:t>
      </w:r>
      <w:r>
        <w:t xml:space="preserve"> (Bloomington and Indianapolis: Indiana University Press, 2005), 6.</w:t>
      </w:r>
    </w:p>
  </w:footnote>
  <w:footnote w:id="4">
    <w:p w14:paraId="09A69C40" w14:textId="2CCA7737" w:rsidR="005D02ED" w:rsidRDefault="005D02ED">
      <w:pPr>
        <w:pStyle w:val="FootnoteText"/>
      </w:pPr>
      <w:r>
        <w:rPr>
          <w:rStyle w:val="FootnoteReference"/>
        </w:rPr>
        <w:footnoteRef/>
      </w:r>
      <w:r>
        <w:t xml:space="preserve"> </w:t>
      </w:r>
      <w:r w:rsidRPr="005D02ED">
        <w:t xml:space="preserve">Cuthbeth Tagwirei, "The ‘Horror’ of African Spirituality." </w:t>
      </w:r>
      <w:r w:rsidRPr="005D02ED">
        <w:rPr>
          <w:i/>
          <w:iCs/>
        </w:rPr>
        <w:t>Research in African Literatures</w:t>
      </w:r>
      <w:r w:rsidRPr="005D02ED">
        <w:t xml:space="preserve"> 48, no. 2 (2017): </w:t>
      </w:r>
      <w:r w:rsidR="00E0677B">
        <w:t>25.</w:t>
      </w:r>
    </w:p>
  </w:footnote>
  <w:footnote w:id="5">
    <w:p w14:paraId="73851524" w14:textId="220CF1FF" w:rsidR="00FE2079" w:rsidRDefault="00FE2079">
      <w:pPr>
        <w:pStyle w:val="FootnoteText"/>
      </w:pPr>
      <w:r>
        <w:rPr>
          <w:rStyle w:val="FootnoteReference"/>
        </w:rPr>
        <w:footnoteRef/>
      </w:r>
      <w:r>
        <w:t xml:space="preserve"> Christina H. Steyn, “A New Look at New Age in South Africa.” </w:t>
      </w:r>
      <w:r w:rsidRPr="00D87AF3">
        <w:rPr>
          <w:i/>
          <w:iCs/>
        </w:rPr>
        <w:t>Religion &amp; theology = Religie &amp; teologie</w:t>
      </w:r>
      <w:r>
        <w:rPr>
          <w:i/>
          <w:iCs/>
        </w:rPr>
        <w:t>:</w:t>
      </w:r>
      <w:r>
        <w:t> </w:t>
      </w:r>
      <w:r w:rsidRPr="00D87AF3">
        <w:rPr>
          <w:i/>
          <w:iCs/>
        </w:rPr>
        <w:t xml:space="preserve"> R &amp; T</w:t>
      </w:r>
      <w:r>
        <w:t>. 14, no. 3-4 (2007): 265–283. 274.</w:t>
      </w:r>
    </w:p>
  </w:footnote>
  <w:footnote w:id="6">
    <w:p w14:paraId="61E052C4" w14:textId="7B4DAF7F" w:rsidR="003D768F" w:rsidRPr="003D768F" w:rsidRDefault="003D768F">
      <w:pPr>
        <w:pStyle w:val="FootnoteText"/>
      </w:pPr>
      <w:r>
        <w:rPr>
          <w:rStyle w:val="FootnoteReference"/>
        </w:rPr>
        <w:footnoteRef/>
      </w:r>
      <w:r>
        <w:t xml:space="preserve"> </w:t>
      </w:r>
      <w:r w:rsidRPr="00D579D1">
        <w:rPr>
          <w:color w:val="212529"/>
        </w:rPr>
        <w:t>Corduan, </w:t>
      </w:r>
      <w:r w:rsidRPr="00D579D1">
        <w:rPr>
          <w:rStyle w:val="Emphasis"/>
          <w:color w:val="212529"/>
        </w:rPr>
        <w:t>Neighboring Faiths</w:t>
      </w:r>
      <w:r>
        <w:rPr>
          <w:rStyle w:val="Emphasis"/>
          <w:color w:val="212529"/>
        </w:rPr>
        <w:t xml:space="preserve">, </w:t>
      </w:r>
      <w:r>
        <w:rPr>
          <w:rStyle w:val="Emphasis"/>
          <w:i w:val="0"/>
          <w:iCs w:val="0"/>
          <w:color w:val="212529"/>
        </w:rPr>
        <w:t>208-233.</w:t>
      </w:r>
    </w:p>
  </w:footnote>
  <w:footnote w:id="7">
    <w:p w14:paraId="71054015" w14:textId="2538056D" w:rsidR="00BB22E1" w:rsidRDefault="00BB22E1">
      <w:pPr>
        <w:pStyle w:val="FootnoteText"/>
      </w:pPr>
      <w:r>
        <w:rPr>
          <w:rStyle w:val="FootnoteReference"/>
        </w:rPr>
        <w:footnoteRef/>
      </w:r>
      <w:r>
        <w:t xml:space="preserve"> Ibid., 244.</w:t>
      </w:r>
    </w:p>
  </w:footnote>
  <w:footnote w:id="8">
    <w:p w14:paraId="2D7E95C7" w14:textId="5C14CE37" w:rsidR="00BB22E1" w:rsidRDefault="00BB22E1">
      <w:pPr>
        <w:pStyle w:val="FootnoteText"/>
      </w:pPr>
      <w:r>
        <w:rPr>
          <w:rStyle w:val="FootnoteReference"/>
        </w:rPr>
        <w:footnoteRef/>
      </w:r>
      <w:r>
        <w:t xml:space="preserve"> Ibid., 244.</w:t>
      </w:r>
    </w:p>
  </w:footnote>
  <w:footnote w:id="9">
    <w:p w14:paraId="06A53168" w14:textId="77777777" w:rsidR="00844EA1" w:rsidRDefault="00844EA1" w:rsidP="00844EA1">
      <w:pPr>
        <w:pStyle w:val="FootnoteText"/>
      </w:pPr>
      <w:r>
        <w:rPr>
          <w:rStyle w:val="FootnoteReference"/>
        </w:rPr>
        <w:footnoteRef/>
      </w:r>
      <w:r>
        <w:t xml:space="preserve"> David Westerlund, </w:t>
      </w:r>
      <w:r w:rsidRPr="00232FDA">
        <w:rPr>
          <w:i/>
          <w:iCs/>
        </w:rPr>
        <w:t xml:space="preserve">African Indigenous Religions and Disease Causation. From Spiritual Beings to Living Humans </w:t>
      </w:r>
      <w:r>
        <w:t>(Leiden and Boston: Brill, 2006), 43-44.</w:t>
      </w:r>
    </w:p>
  </w:footnote>
  <w:footnote w:id="10">
    <w:p w14:paraId="656C3157" w14:textId="30815F60" w:rsidR="00F76D7E" w:rsidRDefault="00F76D7E">
      <w:pPr>
        <w:pStyle w:val="FootnoteText"/>
      </w:pPr>
      <w:r>
        <w:rPr>
          <w:rStyle w:val="FootnoteReference"/>
        </w:rPr>
        <w:footnoteRef/>
      </w:r>
      <w:r>
        <w:t xml:space="preserve"> </w:t>
      </w:r>
      <w:r w:rsidR="00811E3D" w:rsidRPr="00D579D1">
        <w:rPr>
          <w:color w:val="212529"/>
        </w:rPr>
        <w:t>Corduan, </w:t>
      </w:r>
      <w:r w:rsidR="00811E3D" w:rsidRPr="00D579D1">
        <w:rPr>
          <w:rStyle w:val="Emphasis"/>
          <w:color w:val="212529"/>
        </w:rPr>
        <w:t>Neighboring Faiths</w:t>
      </w:r>
      <w:r w:rsidR="00811E3D">
        <w:rPr>
          <w:rStyle w:val="Emphasis"/>
          <w:color w:val="212529"/>
        </w:rPr>
        <w:t xml:space="preserve">, </w:t>
      </w:r>
      <w:r>
        <w:t>218.</w:t>
      </w:r>
    </w:p>
  </w:footnote>
  <w:footnote w:id="11">
    <w:p w14:paraId="2D4BB537" w14:textId="2E8A99FC" w:rsidR="002573B7" w:rsidRDefault="002573B7">
      <w:pPr>
        <w:pStyle w:val="FootnoteText"/>
      </w:pPr>
      <w:r>
        <w:rPr>
          <w:rStyle w:val="FootnoteReference"/>
        </w:rPr>
        <w:footnoteRef/>
      </w:r>
      <w:r>
        <w:t xml:space="preserve"> </w:t>
      </w:r>
      <w:r w:rsidR="008551FD">
        <w:t xml:space="preserve">Westerlund, </w:t>
      </w:r>
      <w:r w:rsidR="008551FD" w:rsidRPr="00232FDA">
        <w:rPr>
          <w:i/>
          <w:iCs/>
        </w:rPr>
        <w:t>African Indigenous Religions and Disease</w:t>
      </w:r>
      <w:r w:rsidR="008551FD">
        <w:rPr>
          <w:i/>
          <w:iCs/>
        </w:rPr>
        <w:t>,</w:t>
      </w:r>
      <w:r w:rsidR="008551FD" w:rsidRPr="00232FDA">
        <w:rPr>
          <w:i/>
          <w:iCs/>
        </w:rPr>
        <w:t xml:space="preserve"> </w:t>
      </w:r>
      <w:r>
        <w:t>67-8.</w:t>
      </w:r>
    </w:p>
  </w:footnote>
  <w:footnote w:id="12">
    <w:p w14:paraId="27C2990A" w14:textId="35D6FC85" w:rsidR="008551FD" w:rsidRDefault="008551FD">
      <w:pPr>
        <w:pStyle w:val="FootnoteText"/>
      </w:pPr>
      <w:r>
        <w:rPr>
          <w:rStyle w:val="FootnoteReference"/>
        </w:rPr>
        <w:footnoteRef/>
      </w:r>
      <w:r>
        <w:t xml:space="preserve"> Ibid., 118.</w:t>
      </w:r>
    </w:p>
  </w:footnote>
  <w:footnote w:id="13">
    <w:p w14:paraId="57EAA004" w14:textId="55C6453E" w:rsidR="006D6108" w:rsidRDefault="006D6108">
      <w:pPr>
        <w:pStyle w:val="FootnoteText"/>
      </w:pPr>
      <w:r>
        <w:rPr>
          <w:rStyle w:val="FootnoteReference"/>
        </w:rPr>
        <w:footnoteRef/>
      </w:r>
      <w:r>
        <w:t xml:space="preserve"> </w:t>
      </w:r>
      <w:r w:rsidRPr="00D579D1">
        <w:rPr>
          <w:color w:val="212529"/>
        </w:rPr>
        <w:t>Corduan, </w:t>
      </w:r>
      <w:r w:rsidRPr="00D579D1">
        <w:rPr>
          <w:rStyle w:val="Emphasis"/>
          <w:color w:val="212529"/>
        </w:rPr>
        <w:t>Neighboring Faiths</w:t>
      </w:r>
      <w:r>
        <w:rPr>
          <w:rStyle w:val="Emphasis"/>
          <w:color w:val="212529"/>
        </w:rPr>
        <w:t xml:space="preserve">, </w:t>
      </w:r>
      <w:r>
        <w:t>21</w:t>
      </w:r>
      <w:r w:rsidR="009B52AF">
        <w:t>9</w:t>
      </w:r>
      <w:r>
        <w:t>.</w:t>
      </w:r>
    </w:p>
  </w:footnote>
  <w:footnote w:id="14">
    <w:p w14:paraId="3E8B3504" w14:textId="190CE0BD" w:rsidR="008551FD" w:rsidRPr="008551FD" w:rsidRDefault="008551FD">
      <w:pPr>
        <w:pStyle w:val="FootnoteText"/>
      </w:pPr>
      <w:r>
        <w:rPr>
          <w:rStyle w:val="FootnoteReference"/>
        </w:rPr>
        <w:footnoteRef/>
      </w:r>
      <w:r>
        <w:t xml:space="preserve"> Westerlund, </w:t>
      </w:r>
      <w:r w:rsidRPr="00232FDA">
        <w:rPr>
          <w:i/>
          <w:iCs/>
        </w:rPr>
        <w:t>African Indigenous Religions and Disease</w:t>
      </w:r>
      <w:r>
        <w:rPr>
          <w:i/>
          <w:iCs/>
        </w:rPr>
        <w:t xml:space="preserve">, </w:t>
      </w:r>
      <w:r>
        <w:t>124.</w:t>
      </w:r>
    </w:p>
  </w:footnote>
  <w:footnote w:id="15">
    <w:p w14:paraId="133DE69C" w14:textId="77777777" w:rsidR="006F107A" w:rsidRDefault="006F107A" w:rsidP="006F107A">
      <w:pPr>
        <w:pStyle w:val="FootnoteText"/>
      </w:pPr>
      <w:r>
        <w:rPr>
          <w:rStyle w:val="FootnoteReference"/>
        </w:rPr>
        <w:footnoteRef/>
      </w:r>
      <w:r>
        <w:t xml:space="preserve"> </w:t>
      </w:r>
      <w:r w:rsidRPr="00D579D1">
        <w:rPr>
          <w:color w:val="212529"/>
        </w:rPr>
        <w:t>Corduan, </w:t>
      </w:r>
      <w:r w:rsidRPr="00D579D1">
        <w:rPr>
          <w:rStyle w:val="Emphasis"/>
          <w:color w:val="212529"/>
        </w:rPr>
        <w:t>Neighboring Faiths</w:t>
      </w:r>
      <w:r>
        <w:rPr>
          <w:rStyle w:val="Emphasis"/>
          <w:color w:val="212529"/>
        </w:rPr>
        <w:t xml:space="preserve">, </w:t>
      </w:r>
      <w:r>
        <w:rPr>
          <w:rStyle w:val="Emphasis"/>
          <w:i w:val="0"/>
          <w:iCs w:val="0"/>
          <w:color w:val="212529"/>
        </w:rPr>
        <w:t>221.</w:t>
      </w:r>
    </w:p>
  </w:footnote>
  <w:footnote w:id="16">
    <w:p w14:paraId="690773B7" w14:textId="202DC4F9" w:rsidR="00D90464" w:rsidRDefault="00D90464" w:rsidP="00D90464">
      <w:pPr>
        <w:pStyle w:val="FootnoteText"/>
      </w:pPr>
      <w:r>
        <w:rPr>
          <w:rStyle w:val="FootnoteReference"/>
        </w:rPr>
        <w:footnoteRef/>
      </w:r>
      <w:r w:rsidR="006D6108">
        <w:t>James L. Cox</w:t>
      </w:r>
      <w:r w:rsidRPr="009212DD">
        <w:t xml:space="preserve">, </w:t>
      </w:r>
      <w:r w:rsidR="006D6108">
        <w:t xml:space="preserve">“Methodological Perspectives in African Religions.” In </w:t>
      </w:r>
      <w:r w:rsidRPr="009212DD">
        <w:rPr>
          <w:i/>
          <w:iCs/>
        </w:rPr>
        <w:t>The Wiley-Blackwell Companion to African Religions</w:t>
      </w:r>
      <w:r w:rsidRPr="009212DD">
        <w:t xml:space="preserve">. </w:t>
      </w:r>
      <w:r w:rsidR="006D6108">
        <w:t xml:space="preserve">Edited by </w:t>
      </w:r>
      <w:r w:rsidR="006D6108" w:rsidRPr="009212DD">
        <w:t>Elias Kifon</w:t>
      </w:r>
      <w:r w:rsidR="006D6108">
        <w:t xml:space="preserve"> </w:t>
      </w:r>
      <w:r w:rsidR="006D6108" w:rsidRPr="009212DD">
        <w:t>Bongmba</w:t>
      </w:r>
      <w:r>
        <w:t xml:space="preserve"> (</w:t>
      </w:r>
      <w:r w:rsidRPr="009212DD">
        <w:t>Malden, MA: Wiley-Blackwell, 2012</w:t>
      </w:r>
      <w:r>
        <w:t xml:space="preserve">), </w:t>
      </w:r>
      <w:r w:rsidR="006D6108">
        <w:t>36.</w:t>
      </w:r>
    </w:p>
  </w:footnote>
  <w:footnote w:id="17">
    <w:p w14:paraId="1A3BF713" w14:textId="76C56D0B" w:rsidR="00126555" w:rsidRDefault="00126555" w:rsidP="00126555">
      <w:pPr>
        <w:pStyle w:val="FootnoteText"/>
      </w:pPr>
      <w:r>
        <w:rPr>
          <w:rStyle w:val="FootnoteReference"/>
        </w:rPr>
        <w:footnoteRef/>
      </w:r>
      <w:r>
        <w:t xml:space="preserve"> Westerlund, </w:t>
      </w:r>
      <w:r w:rsidRPr="00232FDA">
        <w:rPr>
          <w:i/>
          <w:iCs/>
        </w:rPr>
        <w:t>African Indigenous Religions and Disease Causation.</w:t>
      </w:r>
      <w:r>
        <w:t>, 89.</w:t>
      </w:r>
    </w:p>
  </w:footnote>
  <w:footnote w:id="18">
    <w:p w14:paraId="4A317AB7" w14:textId="4BB0926A" w:rsidR="00FD5117" w:rsidRDefault="00FD5117">
      <w:pPr>
        <w:pStyle w:val="FootnoteText"/>
      </w:pPr>
      <w:r>
        <w:rPr>
          <w:rStyle w:val="FootnoteReference"/>
        </w:rPr>
        <w:footnoteRef/>
      </w:r>
      <w:r>
        <w:t xml:space="preserve"> </w:t>
      </w:r>
      <w:r w:rsidRPr="00D579D1">
        <w:rPr>
          <w:color w:val="212529"/>
        </w:rPr>
        <w:t>Corduan, </w:t>
      </w:r>
      <w:r w:rsidRPr="00D579D1">
        <w:rPr>
          <w:rStyle w:val="Emphasis"/>
          <w:color w:val="212529"/>
        </w:rPr>
        <w:t>Neighboring Faiths</w:t>
      </w:r>
      <w:r>
        <w:rPr>
          <w:rStyle w:val="Emphasis"/>
          <w:color w:val="212529"/>
        </w:rPr>
        <w:t xml:space="preserve">, </w:t>
      </w:r>
      <w:r>
        <w:rPr>
          <w:rStyle w:val="Emphasis"/>
          <w:i w:val="0"/>
          <w:iCs w:val="0"/>
          <w:color w:val="212529"/>
        </w:rPr>
        <w:t>222.</w:t>
      </w:r>
    </w:p>
  </w:footnote>
  <w:footnote w:id="19">
    <w:p w14:paraId="15443901" w14:textId="7DD55831" w:rsidR="006F107A" w:rsidRDefault="006F107A">
      <w:pPr>
        <w:pStyle w:val="FootnoteText"/>
      </w:pPr>
      <w:r>
        <w:rPr>
          <w:rStyle w:val="FootnoteReference"/>
        </w:rPr>
        <w:footnoteRef/>
      </w:r>
      <w:r>
        <w:t xml:space="preserve"> Ibid., 222.</w:t>
      </w:r>
    </w:p>
  </w:footnote>
  <w:footnote w:id="20">
    <w:p w14:paraId="0722EC6B" w14:textId="77777777" w:rsidR="007D50ED" w:rsidRDefault="007D50ED" w:rsidP="007D50ED">
      <w:pPr>
        <w:pStyle w:val="FootnoteText"/>
      </w:pPr>
      <w:r>
        <w:rPr>
          <w:rStyle w:val="FootnoteReference"/>
        </w:rPr>
        <w:footnoteRef/>
      </w:r>
      <w:r>
        <w:t xml:space="preserve"> </w:t>
      </w:r>
      <w:r w:rsidRPr="00D579D1">
        <w:rPr>
          <w:color w:val="212529"/>
        </w:rPr>
        <w:t>Corduan, </w:t>
      </w:r>
      <w:r w:rsidRPr="00D579D1">
        <w:rPr>
          <w:rStyle w:val="Emphasis"/>
          <w:color w:val="212529"/>
        </w:rPr>
        <w:t>Neighboring Faiths</w:t>
      </w:r>
      <w:r>
        <w:rPr>
          <w:rStyle w:val="Emphasis"/>
          <w:color w:val="212529"/>
        </w:rPr>
        <w:t xml:space="preserve">, </w:t>
      </w:r>
      <w:r>
        <w:rPr>
          <w:rStyle w:val="Emphasis"/>
          <w:i w:val="0"/>
          <w:iCs w:val="0"/>
          <w:color w:val="212529"/>
        </w:rPr>
        <w:t>222.</w:t>
      </w:r>
    </w:p>
  </w:footnote>
  <w:footnote w:id="21">
    <w:p w14:paraId="27D134EF" w14:textId="04991CEE" w:rsidR="00D87AF3" w:rsidRDefault="00D87AF3" w:rsidP="00D87AF3">
      <w:pPr>
        <w:pStyle w:val="FootnoteText"/>
      </w:pPr>
      <w:r>
        <w:rPr>
          <w:rStyle w:val="FootnoteReference"/>
        </w:rPr>
        <w:footnoteRef/>
      </w:r>
      <w:r>
        <w:t xml:space="preserve"> Christina H. Steyn, “A New Look at New Age in South Africa.” </w:t>
      </w:r>
      <w:r w:rsidRPr="00D87AF3">
        <w:rPr>
          <w:i/>
          <w:iCs/>
        </w:rPr>
        <w:t>Religion &amp; theology = Religie &amp; teologie</w:t>
      </w:r>
      <w:r>
        <w:rPr>
          <w:i/>
          <w:iCs/>
        </w:rPr>
        <w:t>:</w:t>
      </w:r>
      <w:r>
        <w:t> </w:t>
      </w:r>
      <w:r w:rsidRPr="00D87AF3">
        <w:rPr>
          <w:i/>
          <w:iCs/>
        </w:rPr>
        <w:t xml:space="preserve"> R &amp; T</w:t>
      </w:r>
      <w:r>
        <w:t xml:space="preserve">. 14, no. 3-4 (2007): 265–283. </w:t>
      </w:r>
      <w:r w:rsidR="007117E8">
        <w:t>272.</w:t>
      </w:r>
    </w:p>
  </w:footnote>
  <w:footnote w:id="22">
    <w:p w14:paraId="1500F9A5" w14:textId="48F2F5E5" w:rsidR="000746A9" w:rsidRDefault="000746A9">
      <w:pPr>
        <w:pStyle w:val="FootnoteText"/>
      </w:pPr>
      <w:r>
        <w:rPr>
          <w:rStyle w:val="FootnoteReference"/>
        </w:rPr>
        <w:footnoteRef/>
      </w:r>
      <w:r>
        <w:t xml:space="preserve"> </w:t>
      </w:r>
      <w:r w:rsidRPr="000746A9">
        <w:t xml:space="preserve">Ezra Chitando, </w:t>
      </w:r>
      <w:r w:rsidRPr="000746A9">
        <w:rPr>
          <w:i/>
          <w:iCs/>
        </w:rPr>
        <w:t>African Traditions in the Study of Religion, Diaspora and Gendered Societies</w:t>
      </w:r>
      <w:r w:rsidRPr="000746A9">
        <w:t xml:space="preserve"> </w:t>
      </w:r>
      <w:r>
        <w:t>(</w:t>
      </w:r>
      <w:r w:rsidRPr="000746A9">
        <w:t>London: Taylor &amp; Francis Group, 2013</w:t>
      </w:r>
      <w:r>
        <w:t>), 22</w:t>
      </w:r>
      <w:r w:rsidRPr="000746A9">
        <w:t>.</w:t>
      </w:r>
    </w:p>
  </w:footnote>
  <w:footnote w:id="23">
    <w:p w14:paraId="477A9318" w14:textId="371E1D11" w:rsidR="00D0281F" w:rsidRPr="00D0281F" w:rsidRDefault="00D0281F">
      <w:pPr>
        <w:pStyle w:val="FootnoteText"/>
      </w:pPr>
      <w:r>
        <w:rPr>
          <w:rStyle w:val="FootnoteReference"/>
        </w:rPr>
        <w:footnoteRef/>
      </w:r>
      <w:r>
        <w:t xml:space="preserve"> </w:t>
      </w:r>
      <w:r w:rsidRPr="000746A9">
        <w:t xml:space="preserve">Chitando, </w:t>
      </w:r>
      <w:r w:rsidRPr="000746A9">
        <w:rPr>
          <w:i/>
          <w:iCs/>
        </w:rPr>
        <w:t>African Traditions in the Study of Religion, Diaspora and Gendered Societies</w:t>
      </w:r>
      <w:r>
        <w:rPr>
          <w:i/>
          <w:iCs/>
        </w:rPr>
        <w:t xml:space="preserve">, </w:t>
      </w:r>
      <w:r>
        <w:t>18.</w:t>
      </w:r>
    </w:p>
  </w:footnote>
  <w:footnote w:id="24">
    <w:p w14:paraId="7877BE76" w14:textId="140B1B3A" w:rsidR="00877766" w:rsidRDefault="00877766">
      <w:pPr>
        <w:pStyle w:val="FootnoteText"/>
      </w:pPr>
      <w:r>
        <w:rPr>
          <w:rStyle w:val="FootnoteReference"/>
        </w:rPr>
        <w:footnoteRef/>
      </w:r>
      <w:r>
        <w:t xml:space="preserve"> </w:t>
      </w:r>
      <w:r w:rsidRPr="00877766">
        <w:t xml:space="preserve">James L. Cox, “Methodological Perspectives in African Religions.” In </w:t>
      </w:r>
      <w:r w:rsidRPr="00877766">
        <w:rPr>
          <w:i/>
          <w:iCs/>
        </w:rPr>
        <w:t>The Wiley-Blackwell Companion to African Religions</w:t>
      </w:r>
      <w:r w:rsidRPr="00877766">
        <w:t xml:space="preserve">. Edited by Elias Kifon Bongmba (Malden, MA: Wiley-Blackwell, 2012), </w:t>
      </w:r>
      <w:r>
        <w:t>137.</w:t>
      </w:r>
    </w:p>
  </w:footnote>
  <w:footnote w:id="25">
    <w:p w14:paraId="361838F4" w14:textId="00D8D32E" w:rsidR="005472DF" w:rsidRDefault="005472DF">
      <w:pPr>
        <w:pStyle w:val="FootnoteText"/>
      </w:pPr>
      <w:r>
        <w:rPr>
          <w:rStyle w:val="FootnoteReference"/>
        </w:rPr>
        <w:footnoteRef/>
      </w:r>
      <w:r>
        <w:t xml:space="preserve"> </w:t>
      </w:r>
      <w:r w:rsidRPr="00D579D1">
        <w:rPr>
          <w:color w:val="212529"/>
        </w:rPr>
        <w:t>Corduan, </w:t>
      </w:r>
      <w:r w:rsidRPr="00D579D1">
        <w:rPr>
          <w:rStyle w:val="Emphasis"/>
          <w:color w:val="212529"/>
        </w:rPr>
        <w:t>Neighboring Faiths</w:t>
      </w:r>
      <w:r>
        <w:rPr>
          <w:rStyle w:val="Emphasis"/>
          <w:color w:val="212529"/>
        </w:rPr>
        <w:t xml:space="preserve">, </w:t>
      </w:r>
      <w:r>
        <w:rPr>
          <w:rStyle w:val="Emphasis"/>
          <w:i w:val="0"/>
          <w:iCs w:val="0"/>
          <w:color w:val="212529"/>
        </w:rPr>
        <w:t>222.</w:t>
      </w:r>
    </w:p>
  </w:footnote>
  <w:footnote w:id="26">
    <w:p w14:paraId="3036D982" w14:textId="77777777" w:rsidR="002B688A" w:rsidRDefault="002B688A" w:rsidP="002B688A">
      <w:pPr>
        <w:pStyle w:val="FootnoteText"/>
      </w:pPr>
      <w:r>
        <w:rPr>
          <w:rStyle w:val="FootnoteReference"/>
        </w:rPr>
        <w:footnoteRef/>
      </w:r>
      <w:r>
        <w:t xml:space="preserve"> </w:t>
      </w:r>
      <w:r w:rsidRPr="00D579D1">
        <w:rPr>
          <w:color w:val="212529"/>
        </w:rPr>
        <w:t>Corduan, </w:t>
      </w:r>
      <w:r w:rsidRPr="00D579D1">
        <w:rPr>
          <w:rStyle w:val="Emphasis"/>
          <w:color w:val="212529"/>
        </w:rPr>
        <w:t>Neighboring Faiths</w:t>
      </w:r>
      <w:r>
        <w:rPr>
          <w:rStyle w:val="Emphasis"/>
          <w:color w:val="212529"/>
        </w:rPr>
        <w:t xml:space="preserve">, </w:t>
      </w:r>
      <w:r>
        <w:rPr>
          <w:rStyle w:val="Emphasis"/>
          <w:i w:val="0"/>
          <w:iCs w:val="0"/>
          <w:color w:val="212529"/>
        </w:rPr>
        <w:t>210.</w:t>
      </w:r>
    </w:p>
  </w:footnote>
  <w:footnote w:id="27">
    <w:p w14:paraId="1125E7A8" w14:textId="4FC58C87" w:rsidR="004020BB" w:rsidRDefault="004020BB">
      <w:pPr>
        <w:pStyle w:val="FootnoteText"/>
      </w:pPr>
      <w:r>
        <w:rPr>
          <w:rStyle w:val="FootnoteReference"/>
        </w:rPr>
        <w:footnoteRef/>
      </w:r>
      <w:r>
        <w:t xml:space="preserve"> Ibid., 210.</w:t>
      </w:r>
    </w:p>
  </w:footnote>
  <w:footnote w:id="28">
    <w:p w14:paraId="1D1BEBDE" w14:textId="77777777" w:rsidR="009D5A61" w:rsidRDefault="009D5A61" w:rsidP="009D5A61">
      <w:pPr>
        <w:pStyle w:val="FootnoteText"/>
      </w:pPr>
      <w:r>
        <w:rPr>
          <w:rStyle w:val="FootnoteReference"/>
        </w:rPr>
        <w:footnoteRef/>
      </w:r>
      <w:r>
        <w:t xml:space="preserve"> James L. Cox</w:t>
      </w:r>
      <w:r w:rsidRPr="009212DD">
        <w:t xml:space="preserve">, </w:t>
      </w:r>
      <w:r>
        <w:t xml:space="preserve">“Methodological Perspectives in African Religions.” In </w:t>
      </w:r>
      <w:r w:rsidRPr="009212DD">
        <w:rPr>
          <w:i/>
          <w:iCs/>
        </w:rPr>
        <w:t>The Wiley-Blackwell Companion to African Religions</w:t>
      </w:r>
      <w:r w:rsidRPr="009212DD">
        <w:t xml:space="preserve">. </w:t>
      </w:r>
      <w:r>
        <w:t xml:space="preserve">Edited by </w:t>
      </w:r>
      <w:r w:rsidRPr="009212DD">
        <w:t>Elias Kifon</w:t>
      </w:r>
      <w:r>
        <w:t xml:space="preserve"> </w:t>
      </w:r>
      <w:r w:rsidRPr="009212DD">
        <w:t>Bongmba</w:t>
      </w:r>
      <w:r>
        <w:t xml:space="preserve"> (</w:t>
      </w:r>
      <w:r w:rsidRPr="009212DD">
        <w:t>Malden, MA: Wiley-Blackwell, 2012</w:t>
      </w:r>
      <w:r>
        <w:t>), 6.</w:t>
      </w:r>
    </w:p>
  </w:footnote>
  <w:footnote w:id="29">
    <w:p w14:paraId="2D7CCB5E" w14:textId="77777777" w:rsidR="009D5A61" w:rsidRDefault="009D5A61" w:rsidP="009D5A61">
      <w:pPr>
        <w:pStyle w:val="FootnoteText"/>
      </w:pPr>
      <w:r>
        <w:rPr>
          <w:rStyle w:val="FootnoteReference"/>
        </w:rPr>
        <w:footnoteRef/>
      </w:r>
      <w:r>
        <w:t xml:space="preserve"> Ibid., 112.</w:t>
      </w:r>
    </w:p>
  </w:footnote>
  <w:footnote w:id="30">
    <w:p w14:paraId="1D2A5586" w14:textId="43BC00FD" w:rsidR="007117E8" w:rsidRDefault="007117E8">
      <w:pPr>
        <w:pStyle w:val="FootnoteText"/>
      </w:pPr>
      <w:r>
        <w:rPr>
          <w:rStyle w:val="FootnoteReference"/>
        </w:rPr>
        <w:footnoteRef/>
      </w:r>
      <w:r>
        <w:t xml:space="preserve"> Steyn, “A New Look at New Age in South Africa.” 276.</w:t>
      </w:r>
    </w:p>
  </w:footnote>
  <w:footnote w:id="31">
    <w:p w14:paraId="34856268" w14:textId="77777777" w:rsidR="007E430C" w:rsidRDefault="007E430C" w:rsidP="007E430C">
      <w:pPr>
        <w:pStyle w:val="FootnoteText"/>
      </w:pPr>
      <w:r>
        <w:rPr>
          <w:rStyle w:val="FootnoteReference"/>
        </w:rPr>
        <w:footnoteRef/>
      </w:r>
      <w:r>
        <w:t xml:space="preserve"> </w:t>
      </w:r>
      <w:r w:rsidRPr="00D579D1">
        <w:rPr>
          <w:color w:val="212529"/>
        </w:rPr>
        <w:t>Corduan, </w:t>
      </w:r>
      <w:r w:rsidRPr="00D579D1">
        <w:rPr>
          <w:rStyle w:val="Emphasis"/>
          <w:color w:val="212529"/>
        </w:rPr>
        <w:t>Neighboring Faiths</w:t>
      </w:r>
      <w:r>
        <w:rPr>
          <w:rStyle w:val="Emphasis"/>
          <w:color w:val="212529"/>
        </w:rPr>
        <w:t xml:space="preserve">, </w:t>
      </w:r>
      <w:r>
        <w:rPr>
          <w:rStyle w:val="Emphasis"/>
          <w:i w:val="0"/>
          <w:iCs w:val="0"/>
          <w:color w:val="212529"/>
        </w:rPr>
        <w:t>209</w:t>
      </w:r>
    </w:p>
  </w:footnote>
  <w:footnote w:id="32">
    <w:p w14:paraId="1DF5F5DD" w14:textId="3ED8555D" w:rsidR="00795993" w:rsidRDefault="00795993">
      <w:pPr>
        <w:pStyle w:val="FootnoteText"/>
      </w:pPr>
      <w:r>
        <w:rPr>
          <w:rStyle w:val="FootnoteReference"/>
        </w:rPr>
        <w:footnoteRef/>
      </w:r>
      <w:r>
        <w:t xml:space="preserve"> </w:t>
      </w:r>
      <w:r w:rsidRPr="00795993">
        <w:t>Yvonne P.</w:t>
      </w:r>
      <w:r>
        <w:t xml:space="preserve"> </w:t>
      </w:r>
      <w:r w:rsidRPr="00795993">
        <w:t xml:space="preserve">Chireau, </w:t>
      </w:r>
      <w:r w:rsidRPr="00795993">
        <w:rPr>
          <w:i/>
          <w:iCs/>
        </w:rPr>
        <w:t>Black Magic: Religion and the African American Conjuring Tradition</w:t>
      </w:r>
      <w:r>
        <w:t xml:space="preserve"> (</w:t>
      </w:r>
      <w:r w:rsidRPr="00795993">
        <w:t>Berkeley: University of California Press, 200</w:t>
      </w:r>
      <w:r>
        <w:t>3), 2</w:t>
      </w:r>
      <w:r w:rsidRPr="00795993">
        <w:t>.</w:t>
      </w:r>
    </w:p>
  </w:footnote>
  <w:footnote w:id="33">
    <w:p w14:paraId="27B51217" w14:textId="6470ABE9" w:rsidR="002F4B07" w:rsidRDefault="002F4B07">
      <w:pPr>
        <w:pStyle w:val="FootnoteText"/>
      </w:pPr>
      <w:r>
        <w:rPr>
          <w:rStyle w:val="FootnoteReference"/>
        </w:rPr>
        <w:footnoteRef/>
      </w:r>
      <w:r>
        <w:t xml:space="preserve"> </w:t>
      </w:r>
      <w:r w:rsidRPr="00D579D1">
        <w:rPr>
          <w:color w:val="212529"/>
        </w:rPr>
        <w:t>Todd Miles, “</w:t>
      </w:r>
      <w:r>
        <w:rPr>
          <w:color w:val="212529"/>
        </w:rPr>
        <w:t>Pluralism</w:t>
      </w:r>
      <w:r w:rsidRPr="00D579D1">
        <w:rPr>
          <w:color w:val="212529"/>
        </w:rPr>
        <w:t xml:space="preserve">” In </w:t>
      </w:r>
      <w:r w:rsidRPr="00D579D1">
        <w:rPr>
          <w:rStyle w:val="Emphasis"/>
          <w:color w:val="212529"/>
        </w:rPr>
        <w:t>A God of Many Understandings?</w:t>
      </w:r>
      <w:r w:rsidRPr="00D579D1">
        <w:rPr>
          <w:color w:val="212529"/>
        </w:rPr>
        <w:t> (Nashville: Broadman and Holman Publishing House, 2010).</w:t>
      </w:r>
    </w:p>
  </w:footnote>
  <w:footnote w:id="34">
    <w:p w14:paraId="2DB6D0D0" w14:textId="0610733A" w:rsidR="00EA0F8C" w:rsidRDefault="00EA0F8C">
      <w:pPr>
        <w:pStyle w:val="FootnoteText"/>
      </w:pPr>
      <w:r>
        <w:rPr>
          <w:rStyle w:val="FootnoteReference"/>
        </w:rPr>
        <w:footnoteRef/>
      </w:r>
      <w:r>
        <w:t xml:space="preserve"> </w:t>
      </w:r>
      <w:r w:rsidRPr="00D579D1">
        <w:rPr>
          <w:color w:val="212529"/>
        </w:rPr>
        <w:t>Corduan, </w:t>
      </w:r>
      <w:r w:rsidRPr="00D579D1">
        <w:rPr>
          <w:rStyle w:val="Emphasis"/>
          <w:color w:val="212529"/>
        </w:rPr>
        <w:t>Neighboring Faiths</w:t>
      </w:r>
      <w:r>
        <w:rPr>
          <w:rStyle w:val="Emphasis"/>
          <w:color w:val="212529"/>
        </w:rPr>
        <w:t xml:space="preserve">, </w:t>
      </w:r>
      <w:r>
        <w:rPr>
          <w:rStyle w:val="Emphasis"/>
          <w:i w:val="0"/>
          <w:iCs w:val="0"/>
          <w:color w:val="212529"/>
        </w:rPr>
        <w:t>58.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ED27B4" w:rsidRDefault="00ED27B4" w:rsidP="00A36B5C">
    <w:pPr>
      <w:pStyle w:val="Header"/>
    </w:pPr>
  </w:p>
  <w:p w14:paraId="20D2F014" w14:textId="77777777" w:rsidR="00ED27B4" w:rsidRDefault="00ED2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ED27B4" w:rsidRDefault="00ED27B4">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ED27B4" w:rsidRPr="00DA0F88" w:rsidRDefault="00ED27B4"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0239A"/>
    <w:rsid w:val="000108B0"/>
    <w:rsid w:val="0002526C"/>
    <w:rsid w:val="00026CED"/>
    <w:rsid w:val="000365F5"/>
    <w:rsid w:val="0004285A"/>
    <w:rsid w:val="000447AF"/>
    <w:rsid w:val="00044B33"/>
    <w:rsid w:val="00045F7B"/>
    <w:rsid w:val="0006299D"/>
    <w:rsid w:val="00065E4A"/>
    <w:rsid w:val="000746A9"/>
    <w:rsid w:val="0008569C"/>
    <w:rsid w:val="000A2C52"/>
    <w:rsid w:val="000B1EDA"/>
    <w:rsid w:val="000C2FB6"/>
    <w:rsid w:val="000D2B1D"/>
    <w:rsid w:val="000D41A4"/>
    <w:rsid w:val="000E33DC"/>
    <w:rsid w:val="000E6190"/>
    <w:rsid w:val="00101FF8"/>
    <w:rsid w:val="00106286"/>
    <w:rsid w:val="00114B0E"/>
    <w:rsid w:val="00120708"/>
    <w:rsid w:val="00121953"/>
    <w:rsid w:val="00126555"/>
    <w:rsid w:val="0013174E"/>
    <w:rsid w:val="00134BCC"/>
    <w:rsid w:val="00135D6A"/>
    <w:rsid w:val="00141902"/>
    <w:rsid w:val="001517D4"/>
    <w:rsid w:val="00155F02"/>
    <w:rsid w:val="001631D2"/>
    <w:rsid w:val="00174C31"/>
    <w:rsid w:val="00186672"/>
    <w:rsid w:val="001918B7"/>
    <w:rsid w:val="001A3D8D"/>
    <w:rsid w:val="001A616E"/>
    <w:rsid w:val="001B35F3"/>
    <w:rsid w:val="001F4B75"/>
    <w:rsid w:val="001F585E"/>
    <w:rsid w:val="001F78F1"/>
    <w:rsid w:val="00200875"/>
    <w:rsid w:val="0021064F"/>
    <w:rsid w:val="00214A86"/>
    <w:rsid w:val="00225DEA"/>
    <w:rsid w:val="00230921"/>
    <w:rsid w:val="00232FDA"/>
    <w:rsid w:val="002401B1"/>
    <w:rsid w:val="002500A3"/>
    <w:rsid w:val="002555F0"/>
    <w:rsid w:val="002563A6"/>
    <w:rsid w:val="002573B7"/>
    <w:rsid w:val="002751AB"/>
    <w:rsid w:val="00283562"/>
    <w:rsid w:val="002A1694"/>
    <w:rsid w:val="002A6EBA"/>
    <w:rsid w:val="002B232E"/>
    <w:rsid w:val="002B64C0"/>
    <w:rsid w:val="002B688A"/>
    <w:rsid w:val="002B7C8F"/>
    <w:rsid w:val="002C2FAF"/>
    <w:rsid w:val="002C55A1"/>
    <w:rsid w:val="002D624A"/>
    <w:rsid w:val="002F4B07"/>
    <w:rsid w:val="002F765F"/>
    <w:rsid w:val="003020F2"/>
    <w:rsid w:val="0030455F"/>
    <w:rsid w:val="003134DA"/>
    <w:rsid w:val="00314142"/>
    <w:rsid w:val="0031579C"/>
    <w:rsid w:val="003210C1"/>
    <w:rsid w:val="00332470"/>
    <w:rsid w:val="00332E7E"/>
    <w:rsid w:val="00344625"/>
    <w:rsid w:val="00350B9C"/>
    <w:rsid w:val="00357950"/>
    <w:rsid w:val="00374DB1"/>
    <w:rsid w:val="003775FD"/>
    <w:rsid w:val="00381DA6"/>
    <w:rsid w:val="00397061"/>
    <w:rsid w:val="003971DD"/>
    <w:rsid w:val="003A3A0A"/>
    <w:rsid w:val="003B151C"/>
    <w:rsid w:val="003B700E"/>
    <w:rsid w:val="003C0A92"/>
    <w:rsid w:val="003C0B5A"/>
    <w:rsid w:val="003C0EC6"/>
    <w:rsid w:val="003C2E6C"/>
    <w:rsid w:val="003C409F"/>
    <w:rsid w:val="003C71D6"/>
    <w:rsid w:val="003D74FB"/>
    <w:rsid w:val="003D768F"/>
    <w:rsid w:val="003E03EA"/>
    <w:rsid w:val="003E7560"/>
    <w:rsid w:val="003F6E92"/>
    <w:rsid w:val="003F7CAE"/>
    <w:rsid w:val="00400C66"/>
    <w:rsid w:val="00400C96"/>
    <w:rsid w:val="004020BB"/>
    <w:rsid w:val="00404BF1"/>
    <w:rsid w:val="00432FB1"/>
    <w:rsid w:val="00433072"/>
    <w:rsid w:val="00435D1B"/>
    <w:rsid w:val="0046486E"/>
    <w:rsid w:val="004676DD"/>
    <w:rsid w:val="004706C8"/>
    <w:rsid w:val="004714E0"/>
    <w:rsid w:val="0047489A"/>
    <w:rsid w:val="00484ECF"/>
    <w:rsid w:val="004A004D"/>
    <w:rsid w:val="004A2B84"/>
    <w:rsid w:val="004C1E54"/>
    <w:rsid w:val="004D2F64"/>
    <w:rsid w:val="004F1E5C"/>
    <w:rsid w:val="004F5C98"/>
    <w:rsid w:val="00500EFC"/>
    <w:rsid w:val="00504BD8"/>
    <w:rsid w:val="00506987"/>
    <w:rsid w:val="00513B86"/>
    <w:rsid w:val="005202C1"/>
    <w:rsid w:val="00524AC5"/>
    <w:rsid w:val="00532EB3"/>
    <w:rsid w:val="00536A24"/>
    <w:rsid w:val="005411F6"/>
    <w:rsid w:val="005449C8"/>
    <w:rsid w:val="005472DF"/>
    <w:rsid w:val="00550A69"/>
    <w:rsid w:val="005515FB"/>
    <w:rsid w:val="0056155C"/>
    <w:rsid w:val="005710B0"/>
    <w:rsid w:val="00591475"/>
    <w:rsid w:val="00594FDB"/>
    <w:rsid w:val="005A5144"/>
    <w:rsid w:val="005B2A98"/>
    <w:rsid w:val="005B2DB9"/>
    <w:rsid w:val="005B6F5A"/>
    <w:rsid w:val="005C2972"/>
    <w:rsid w:val="005D02ED"/>
    <w:rsid w:val="005E07D6"/>
    <w:rsid w:val="005E7F5F"/>
    <w:rsid w:val="005F368B"/>
    <w:rsid w:val="00600CAE"/>
    <w:rsid w:val="00612EB2"/>
    <w:rsid w:val="00623095"/>
    <w:rsid w:val="00637A86"/>
    <w:rsid w:val="00646079"/>
    <w:rsid w:val="00656585"/>
    <w:rsid w:val="00684DC2"/>
    <w:rsid w:val="006876D2"/>
    <w:rsid w:val="00690AD8"/>
    <w:rsid w:val="006A332A"/>
    <w:rsid w:val="006B2405"/>
    <w:rsid w:val="006B2E64"/>
    <w:rsid w:val="006B3547"/>
    <w:rsid w:val="006D1F3F"/>
    <w:rsid w:val="006D6108"/>
    <w:rsid w:val="006E1904"/>
    <w:rsid w:val="006E6E68"/>
    <w:rsid w:val="006F107A"/>
    <w:rsid w:val="007117E8"/>
    <w:rsid w:val="00711C41"/>
    <w:rsid w:val="007215D2"/>
    <w:rsid w:val="00724602"/>
    <w:rsid w:val="007517B8"/>
    <w:rsid w:val="00760C48"/>
    <w:rsid w:val="007705BC"/>
    <w:rsid w:val="00775360"/>
    <w:rsid w:val="00777A48"/>
    <w:rsid w:val="007875DE"/>
    <w:rsid w:val="007927B9"/>
    <w:rsid w:val="00793A09"/>
    <w:rsid w:val="00795993"/>
    <w:rsid w:val="007A46E3"/>
    <w:rsid w:val="007B5BCD"/>
    <w:rsid w:val="007C1159"/>
    <w:rsid w:val="007C366B"/>
    <w:rsid w:val="007D50ED"/>
    <w:rsid w:val="007E05B1"/>
    <w:rsid w:val="007E430C"/>
    <w:rsid w:val="007E52F0"/>
    <w:rsid w:val="007E6190"/>
    <w:rsid w:val="007E71EC"/>
    <w:rsid w:val="007F788B"/>
    <w:rsid w:val="008016A0"/>
    <w:rsid w:val="008038B4"/>
    <w:rsid w:val="00803D49"/>
    <w:rsid w:val="00805553"/>
    <w:rsid w:val="00810CAB"/>
    <w:rsid w:val="00811E3D"/>
    <w:rsid w:val="0081498C"/>
    <w:rsid w:val="00823597"/>
    <w:rsid w:val="00827CF6"/>
    <w:rsid w:val="0083042D"/>
    <w:rsid w:val="0083199A"/>
    <w:rsid w:val="008405D8"/>
    <w:rsid w:val="00844EA1"/>
    <w:rsid w:val="00846716"/>
    <w:rsid w:val="008551FD"/>
    <w:rsid w:val="00861DD8"/>
    <w:rsid w:val="008675C0"/>
    <w:rsid w:val="00877766"/>
    <w:rsid w:val="00881D95"/>
    <w:rsid w:val="00890311"/>
    <w:rsid w:val="008A4511"/>
    <w:rsid w:val="008B697C"/>
    <w:rsid w:val="008D577A"/>
    <w:rsid w:val="008D6E51"/>
    <w:rsid w:val="008E5BBF"/>
    <w:rsid w:val="008F3A63"/>
    <w:rsid w:val="008F6894"/>
    <w:rsid w:val="00903AB0"/>
    <w:rsid w:val="0091056D"/>
    <w:rsid w:val="00910661"/>
    <w:rsid w:val="009131E7"/>
    <w:rsid w:val="009212DD"/>
    <w:rsid w:val="00930349"/>
    <w:rsid w:val="0093103D"/>
    <w:rsid w:val="00934FC4"/>
    <w:rsid w:val="00947EE0"/>
    <w:rsid w:val="009521C9"/>
    <w:rsid w:val="009523A9"/>
    <w:rsid w:val="0096039A"/>
    <w:rsid w:val="00960B5C"/>
    <w:rsid w:val="00965446"/>
    <w:rsid w:val="00965A4C"/>
    <w:rsid w:val="009915B5"/>
    <w:rsid w:val="009954FD"/>
    <w:rsid w:val="009959F5"/>
    <w:rsid w:val="009A1991"/>
    <w:rsid w:val="009A2C33"/>
    <w:rsid w:val="009A38BD"/>
    <w:rsid w:val="009B52AF"/>
    <w:rsid w:val="009C136E"/>
    <w:rsid w:val="009C2289"/>
    <w:rsid w:val="009C25E5"/>
    <w:rsid w:val="009C4641"/>
    <w:rsid w:val="009D5A61"/>
    <w:rsid w:val="009D699F"/>
    <w:rsid w:val="009E2636"/>
    <w:rsid w:val="009E46B4"/>
    <w:rsid w:val="009E5C39"/>
    <w:rsid w:val="00A007EC"/>
    <w:rsid w:val="00A063D7"/>
    <w:rsid w:val="00A06E1A"/>
    <w:rsid w:val="00A07CBC"/>
    <w:rsid w:val="00A2002E"/>
    <w:rsid w:val="00A2220C"/>
    <w:rsid w:val="00A24D8D"/>
    <w:rsid w:val="00A3148C"/>
    <w:rsid w:val="00A36B5C"/>
    <w:rsid w:val="00A43B4D"/>
    <w:rsid w:val="00A53427"/>
    <w:rsid w:val="00A57FB6"/>
    <w:rsid w:val="00A67412"/>
    <w:rsid w:val="00A70889"/>
    <w:rsid w:val="00A70E15"/>
    <w:rsid w:val="00A752F0"/>
    <w:rsid w:val="00AB05C0"/>
    <w:rsid w:val="00AC204F"/>
    <w:rsid w:val="00AC789B"/>
    <w:rsid w:val="00AD1015"/>
    <w:rsid w:val="00AD227E"/>
    <w:rsid w:val="00AE1A54"/>
    <w:rsid w:val="00AE1E2E"/>
    <w:rsid w:val="00AF22CA"/>
    <w:rsid w:val="00AF315F"/>
    <w:rsid w:val="00AF3AAC"/>
    <w:rsid w:val="00AF3CDD"/>
    <w:rsid w:val="00AF6D06"/>
    <w:rsid w:val="00B12D3D"/>
    <w:rsid w:val="00B141BE"/>
    <w:rsid w:val="00B14F13"/>
    <w:rsid w:val="00B16F57"/>
    <w:rsid w:val="00B216BD"/>
    <w:rsid w:val="00B2530F"/>
    <w:rsid w:val="00B334E6"/>
    <w:rsid w:val="00B34C91"/>
    <w:rsid w:val="00B40CDC"/>
    <w:rsid w:val="00B519A8"/>
    <w:rsid w:val="00B52E7C"/>
    <w:rsid w:val="00B600F8"/>
    <w:rsid w:val="00B64AF9"/>
    <w:rsid w:val="00B66524"/>
    <w:rsid w:val="00B73CB5"/>
    <w:rsid w:val="00B75AD5"/>
    <w:rsid w:val="00B824EA"/>
    <w:rsid w:val="00B82D3F"/>
    <w:rsid w:val="00B92FEC"/>
    <w:rsid w:val="00BB06A1"/>
    <w:rsid w:val="00BB22E1"/>
    <w:rsid w:val="00BB48E6"/>
    <w:rsid w:val="00BC26E8"/>
    <w:rsid w:val="00BC2905"/>
    <w:rsid w:val="00BF09C1"/>
    <w:rsid w:val="00BF1072"/>
    <w:rsid w:val="00BF4EAC"/>
    <w:rsid w:val="00BF6365"/>
    <w:rsid w:val="00BF7136"/>
    <w:rsid w:val="00C02B16"/>
    <w:rsid w:val="00C0592A"/>
    <w:rsid w:val="00C05C7F"/>
    <w:rsid w:val="00C05F96"/>
    <w:rsid w:val="00C07D4C"/>
    <w:rsid w:val="00C1228A"/>
    <w:rsid w:val="00C22029"/>
    <w:rsid w:val="00C226D3"/>
    <w:rsid w:val="00C42AC9"/>
    <w:rsid w:val="00C42B8F"/>
    <w:rsid w:val="00C4515E"/>
    <w:rsid w:val="00C45470"/>
    <w:rsid w:val="00C46467"/>
    <w:rsid w:val="00C6173E"/>
    <w:rsid w:val="00C70A4A"/>
    <w:rsid w:val="00C7456A"/>
    <w:rsid w:val="00C750AF"/>
    <w:rsid w:val="00C75AB6"/>
    <w:rsid w:val="00C85435"/>
    <w:rsid w:val="00C955DA"/>
    <w:rsid w:val="00CA73FA"/>
    <w:rsid w:val="00CB2F65"/>
    <w:rsid w:val="00CB634F"/>
    <w:rsid w:val="00CC135A"/>
    <w:rsid w:val="00CC55B1"/>
    <w:rsid w:val="00CE19FA"/>
    <w:rsid w:val="00CE489C"/>
    <w:rsid w:val="00CE499B"/>
    <w:rsid w:val="00CE702C"/>
    <w:rsid w:val="00D02285"/>
    <w:rsid w:val="00D0281F"/>
    <w:rsid w:val="00D072C2"/>
    <w:rsid w:val="00D17405"/>
    <w:rsid w:val="00D2692F"/>
    <w:rsid w:val="00D33050"/>
    <w:rsid w:val="00D36205"/>
    <w:rsid w:val="00D41CC6"/>
    <w:rsid w:val="00D508D7"/>
    <w:rsid w:val="00D56FDF"/>
    <w:rsid w:val="00D624D9"/>
    <w:rsid w:val="00D63C40"/>
    <w:rsid w:val="00D64EDB"/>
    <w:rsid w:val="00D67221"/>
    <w:rsid w:val="00D850DE"/>
    <w:rsid w:val="00D87AF3"/>
    <w:rsid w:val="00D90464"/>
    <w:rsid w:val="00D90FF4"/>
    <w:rsid w:val="00D97A09"/>
    <w:rsid w:val="00DB45AF"/>
    <w:rsid w:val="00DB65E1"/>
    <w:rsid w:val="00DB71C0"/>
    <w:rsid w:val="00DD0D8B"/>
    <w:rsid w:val="00DD1BC9"/>
    <w:rsid w:val="00DD7D0F"/>
    <w:rsid w:val="00DD7DF3"/>
    <w:rsid w:val="00DE18CF"/>
    <w:rsid w:val="00DE5146"/>
    <w:rsid w:val="00DF15BA"/>
    <w:rsid w:val="00DF3A0F"/>
    <w:rsid w:val="00DF7AA0"/>
    <w:rsid w:val="00E02690"/>
    <w:rsid w:val="00E0677B"/>
    <w:rsid w:val="00E13408"/>
    <w:rsid w:val="00E14FD2"/>
    <w:rsid w:val="00E22FC9"/>
    <w:rsid w:val="00E25E34"/>
    <w:rsid w:val="00E33F9B"/>
    <w:rsid w:val="00E34F3B"/>
    <w:rsid w:val="00E462AC"/>
    <w:rsid w:val="00E52526"/>
    <w:rsid w:val="00E6776E"/>
    <w:rsid w:val="00E721B9"/>
    <w:rsid w:val="00E774C7"/>
    <w:rsid w:val="00E87053"/>
    <w:rsid w:val="00EA0609"/>
    <w:rsid w:val="00EA0F8C"/>
    <w:rsid w:val="00EB5EEC"/>
    <w:rsid w:val="00EC3256"/>
    <w:rsid w:val="00ED04CE"/>
    <w:rsid w:val="00ED27B4"/>
    <w:rsid w:val="00ED77B1"/>
    <w:rsid w:val="00EF2325"/>
    <w:rsid w:val="00EF6624"/>
    <w:rsid w:val="00F04E67"/>
    <w:rsid w:val="00F06F50"/>
    <w:rsid w:val="00F11242"/>
    <w:rsid w:val="00F228DC"/>
    <w:rsid w:val="00F24562"/>
    <w:rsid w:val="00F26E83"/>
    <w:rsid w:val="00F347DF"/>
    <w:rsid w:val="00F35DFA"/>
    <w:rsid w:val="00F630B3"/>
    <w:rsid w:val="00F64105"/>
    <w:rsid w:val="00F73DFD"/>
    <w:rsid w:val="00F76D7E"/>
    <w:rsid w:val="00F8465E"/>
    <w:rsid w:val="00F94E20"/>
    <w:rsid w:val="00F96131"/>
    <w:rsid w:val="00FA3428"/>
    <w:rsid w:val="00FB6365"/>
    <w:rsid w:val="00FC309B"/>
    <w:rsid w:val="00FD24A8"/>
    <w:rsid w:val="00FD5117"/>
    <w:rsid w:val="00FE1AB8"/>
    <w:rsid w:val="00FE2079"/>
    <w:rsid w:val="00FE6983"/>
    <w:rsid w:val="00FF04EB"/>
    <w:rsid w:val="00FF4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FE6983"/>
    <w:pPr>
      <w:keepNext/>
      <w:keepLines/>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F35DFA"/>
    <w:pPr>
      <w:keepNext/>
      <w:keepLines/>
      <w:jc w:val="center"/>
      <w:outlineLvl w:val="1"/>
    </w:pPr>
    <w:rPr>
      <w:rFonts w:eastAsiaTheme="majorEastAsia" w:cstheme="majorBidi"/>
      <w:bCs/>
      <w:color w:val="0E101A"/>
      <w:szCs w:val="26"/>
    </w:rPr>
  </w:style>
  <w:style w:type="paragraph" w:styleId="Heading3">
    <w:name w:val="heading 3"/>
    <w:basedOn w:val="Normal"/>
    <w:next w:val="Normal"/>
    <w:link w:val="Heading3Char"/>
    <w:uiPriority w:val="9"/>
    <w:unhideWhenUsed/>
    <w:qFormat/>
    <w:rsid w:val="001F4B75"/>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6983"/>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F35DFA"/>
    <w:rPr>
      <w:rFonts w:ascii="Times New Roman" w:eastAsiaTheme="majorEastAsia" w:hAnsi="Times New Roman" w:cstheme="majorBidi"/>
      <w:bCs/>
      <w:color w:val="0E101A"/>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 w:type="character" w:customStyle="1" w:styleId="text">
    <w:name w:val="text"/>
    <w:basedOn w:val="DefaultParagraphFont"/>
    <w:rsid w:val="00591475"/>
  </w:style>
  <w:style w:type="character" w:styleId="UnresolvedMention">
    <w:name w:val="Unresolved Mention"/>
    <w:basedOn w:val="DefaultParagraphFont"/>
    <w:uiPriority w:val="99"/>
    <w:semiHidden/>
    <w:unhideWhenUsed/>
    <w:rsid w:val="00BC2905"/>
    <w:rPr>
      <w:color w:val="605E5C"/>
      <w:shd w:val="clear" w:color="auto" w:fill="E1DFDD"/>
    </w:rPr>
  </w:style>
  <w:style w:type="character" w:customStyle="1" w:styleId="Heading3Char">
    <w:name w:val="Heading 3 Char"/>
    <w:basedOn w:val="DefaultParagraphFont"/>
    <w:link w:val="Heading3"/>
    <w:uiPriority w:val="9"/>
    <w:rsid w:val="001F4B75"/>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EA0F8C"/>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012573">
      <w:bodyDiv w:val="1"/>
      <w:marLeft w:val="0"/>
      <w:marRight w:val="0"/>
      <w:marTop w:val="0"/>
      <w:marBottom w:val="0"/>
      <w:divBdr>
        <w:top w:val="none" w:sz="0" w:space="0" w:color="auto"/>
        <w:left w:val="none" w:sz="0" w:space="0" w:color="auto"/>
        <w:bottom w:val="none" w:sz="0" w:space="0" w:color="auto"/>
        <w:right w:val="none" w:sz="0" w:space="0" w:color="auto"/>
      </w:divBdr>
    </w:div>
    <w:div w:id="294876661">
      <w:bodyDiv w:val="1"/>
      <w:marLeft w:val="0"/>
      <w:marRight w:val="0"/>
      <w:marTop w:val="0"/>
      <w:marBottom w:val="0"/>
      <w:divBdr>
        <w:top w:val="none" w:sz="0" w:space="0" w:color="auto"/>
        <w:left w:val="none" w:sz="0" w:space="0" w:color="auto"/>
        <w:bottom w:val="none" w:sz="0" w:space="0" w:color="auto"/>
        <w:right w:val="none" w:sz="0" w:space="0" w:color="auto"/>
      </w:divBdr>
    </w:div>
    <w:div w:id="310599249">
      <w:bodyDiv w:val="1"/>
      <w:marLeft w:val="0"/>
      <w:marRight w:val="0"/>
      <w:marTop w:val="0"/>
      <w:marBottom w:val="0"/>
      <w:divBdr>
        <w:top w:val="none" w:sz="0" w:space="0" w:color="auto"/>
        <w:left w:val="none" w:sz="0" w:space="0" w:color="auto"/>
        <w:bottom w:val="none" w:sz="0" w:space="0" w:color="auto"/>
        <w:right w:val="none" w:sz="0" w:space="0" w:color="auto"/>
      </w:divBdr>
      <w:divsChild>
        <w:div w:id="5063721">
          <w:marLeft w:val="0"/>
          <w:marRight w:val="0"/>
          <w:marTop w:val="0"/>
          <w:marBottom w:val="0"/>
          <w:divBdr>
            <w:top w:val="none" w:sz="0" w:space="0" w:color="auto"/>
            <w:left w:val="none" w:sz="0" w:space="0" w:color="auto"/>
            <w:bottom w:val="none" w:sz="0" w:space="0" w:color="auto"/>
            <w:right w:val="none" w:sz="0" w:space="0" w:color="auto"/>
          </w:divBdr>
        </w:div>
        <w:div w:id="2128888819">
          <w:marLeft w:val="0"/>
          <w:marRight w:val="0"/>
          <w:marTop w:val="0"/>
          <w:marBottom w:val="0"/>
          <w:divBdr>
            <w:top w:val="none" w:sz="0" w:space="0" w:color="auto"/>
            <w:left w:val="none" w:sz="0" w:space="0" w:color="auto"/>
            <w:bottom w:val="none" w:sz="0" w:space="0" w:color="auto"/>
            <w:right w:val="none" w:sz="0" w:space="0" w:color="auto"/>
          </w:divBdr>
        </w:div>
        <w:div w:id="1409035761">
          <w:marLeft w:val="0"/>
          <w:marRight w:val="0"/>
          <w:marTop w:val="0"/>
          <w:marBottom w:val="0"/>
          <w:divBdr>
            <w:top w:val="none" w:sz="0" w:space="0" w:color="auto"/>
            <w:left w:val="none" w:sz="0" w:space="0" w:color="auto"/>
            <w:bottom w:val="none" w:sz="0" w:space="0" w:color="auto"/>
            <w:right w:val="none" w:sz="0" w:space="0" w:color="auto"/>
          </w:divBdr>
        </w:div>
      </w:divsChild>
    </w:div>
    <w:div w:id="331495895">
      <w:bodyDiv w:val="1"/>
      <w:marLeft w:val="0"/>
      <w:marRight w:val="0"/>
      <w:marTop w:val="0"/>
      <w:marBottom w:val="0"/>
      <w:divBdr>
        <w:top w:val="none" w:sz="0" w:space="0" w:color="auto"/>
        <w:left w:val="none" w:sz="0" w:space="0" w:color="auto"/>
        <w:bottom w:val="none" w:sz="0" w:space="0" w:color="auto"/>
        <w:right w:val="none" w:sz="0" w:space="0" w:color="auto"/>
      </w:divBdr>
    </w:div>
    <w:div w:id="490025169">
      <w:bodyDiv w:val="1"/>
      <w:marLeft w:val="0"/>
      <w:marRight w:val="0"/>
      <w:marTop w:val="0"/>
      <w:marBottom w:val="0"/>
      <w:divBdr>
        <w:top w:val="none" w:sz="0" w:space="0" w:color="auto"/>
        <w:left w:val="none" w:sz="0" w:space="0" w:color="auto"/>
        <w:bottom w:val="none" w:sz="0" w:space="0" w:color="auto"/>
        <w:right w:val="none" w:sz="0" w:space="0" w:color="auto"/>
      </w:divBdr>
    </w:div>
    <w:div w:id="589855350">
      <w:bodyDiv w:val="1"/>
      <w:marLeft w:val="0"/>
      <w:marRight w:val="0"/>
      <w:marTop w:val="0"/>
      <w:marBottom w:val="0"/>
      <w:divBdr>
        <w:top w:val="none" w:sz="0" w:space="0" w:color="auto"/>
        <w:left w:val="none" w:sz="0" w:space="0" w:color="auto"/>
        <w:bottom w:val="none" w:sz="0" w:space="0" w:color="auto"/>
        <w:right w:val="none" w:sz="0" w:space="0" w:color="auto"/>
      </w:divBdr>
    </w:div>
    <w:div w:id="594363458">
      <w:bodyDiv w:val="1"/>
      <w:marLeft w:val="0"/>
      <w:marRight w:val="0"/>
      <w:marTop w:val="0"/>
      <w:marBottom w:val="0"/>
      <w:divBdr>
        <w:top w:val="none" w:sz="0" w:space="0" w:color="auto"/>
        <w:left w:val="none" w:sz="0" w:space="0" w:color="auto"/>
        <w:bottom w:val="none" w:sz="0" w:space="0" w:color="auto"/>
        <w:right w:val="none" w:sz="0" w:space="0" w:color="auto"/>
      </w:divBdr>
    </w:div>
    <w:div w:id="641008856">
      <w:bodyDiv w:val="1"/>
      <w:marLeft w:val="0"/>
      <w:marRight w:val="0"/>
      <w:marTop w:val="0"/>
      <w:marBottom w:val="0"/>
      <w:divBdr>
        <w:top w:val="none" w:sz="0" w:space="0" w:color="auto"/>
        <w:left w:val="none" w:sz="0" w:space="0" w:color="auto"/>
        <w:bottom w:val="none" w:sz="0" w:space="0" w:color="auto"/>
        <w:right w:val="none" w:sz="0" w:space="0" w:color="auto"/>
      </w:divBdr>
    </w:div>
    <w:div w:id="1006982773">
      <w:bodyDiv w:val="1"/>
      <w:marLeft w:val="0"/>
      <w:marRight w:val="0"/>
      <w:marTop w:val="0"/>
      <w:marBottom w:val="0"/>
      <w:divBdr>
        <w:top w:val="none" w:sz="0" w:space="0" w:color="auto"/>
        <w:left w:val="none" w:sz="0" w:space="0" w:color="auto"/>
        <w:bottom w:val="none" w:sz="0" w:space="0" w:color="auto"/>
        <w:right w:val="none" w:sz="0" w:space="0" w:color="auto"/>
      </w:divBdr>
      <w:divsChild>
        <w:div w:id="467629202">
          <w:marLeft w:val="0"/>
          <w:marRight w:val="0"/>
          <w:marTop w:val="0"/>
          <w:marBottom w:val="0"/>
          <w:divBdr>
            <w:top w:val="none" w:sz="0" w:space="0" w:color="auto"/>
            <w:left w:val="none" w:sz="0" w:space="0" w:color="auto"/>
            <w:bottom w:val="none" w:sz="0" w:space="0" w:color="auto"/>
            <w:right w:val="none" w:sz="0" w:space="0" w:color="auto"/>
          </w:divBdr>
        </w:div>
        <w:div w:id="773672736">
          <w:marLeft w:val="0"/>
          <w:marRight w:val="0"/>
          <w:marTop w:val="0"/>
          <w:marBottom w:val="0"/>
          <w:divBdr>
            <w:top w:val="none" w:sz="0" w:space="0" w:color="auto"/>
            <w:left w:val="none" w:sz="0" w:space="0" w:color="auto"/>
            <w:bottom w:val="none" w:sz="0" w:space="0" w:color="auto"/>
            <w:right w:val="none" w:sz="0" w:space="0" w:color="auto"/>
          </w:divBdr>
        </w:div>
        <w:div w:id="817502972">
          <w:marLeft w:val="0"/>
          <w:marRight w:val="0"/>
          <w:marTop w:val="0"/>
          <w:marBottom w:val="0"/>
          <w:divBdr>
            <w:top w:val="none" w:sz="0" w:space="0" w:color="auto"/>
            <w:left w:val="none" w:sz="0" w:space="0" w:color="auto"/>
            <w:bottom w:val="none" w:sz="0" w:space="0" w:color="auto"/>
            <w:right w:val="none" w:sz="0" w:space="0" w:color="auto"/>
          </w:divBdr>
        </w:div>
      </w:divsChild>
    </w:div>
    <w:div w:id="1070158175">
      <w:bodyDiv w:val="1"/>
      <w:marLeft w:val="0"/>
      <w:marRight w:val="0"/>
      <w:marTop w:val="0"/>
      <w:marBottom w:val="0"/>
      <w:divBdr>
        <w:top w:val="none" w:sz="0" w:space="0" w:color="auto"/>
        <w:left w:val="none" w:sz="0" w:space="0" w:color="auto"/>
        <w:bottom w:val="none" w:sz="0" w:space="0" w:color="auto"/>
        <w:right w:val="none" w:sz="0" w:space="0" w:color="auto"/>
      </w:divBdr>
    </w:div>
    <w:div w:id="1139498525">
      <w:bodyDiv w:val="1"/>
      <w:marLeft w:val="0"/>
      <w:marRight w:val="0"/>
      <w:marTop w:val="0"/>
      <w:marBottom w:val="0"/>
      <w:divBdr>
        <w:top w:val="none" w:sz="0" w:space="0" w:color="auto"/>
        <w:left w:val="none" w:sz="0" w:space="0" w:color="auto"/>
        <w:bottom w:val="none" w:sz="0" w:space="0" w:color="auto"/>
        <w:right w:val="none" w:sz="0" w:space="0" w:color="auto"/>
      </w:divBdr>
    </w:div>
    <w:div w:id="1144851063">
      <w:bodyDiv w:val="1"/>
      <w:marLeft w:val="0"/>
      <w:marRight w:val="0"/>
      <w:marTop w:val="0"/>
      <w:marBottom w:val="0"/>
      <w:divBdr>
        <w:top w:val="none" w:sz="0" w:space="0" w:color="auto"/>
        <w:left w:val="none" w:sz="0" w:space="0" w:color="auto"/>
        <w:bottom w:val="none" w:sz="0" w:space="0" w:color="auto"/>
        <w:right w:val="none" w:sz="0" w:space="0" w:color="auto"/>
      </w:divBdr>
    </w:div>
    <w:div w:id="1254585925">
      <w:bodyDiv w:val="1"/>
      <w:marLeft w:val="0"/>
      <w:marRight w:val="0"/>
      <w:marTop w:val="0"/>
      <w:marBottom w:val="0"/>
      <w:divBdr>
        <w:top w:val="none" w:sz="0" w:space="0" w:color="auto"/>
        <w:left w:val="none" w:sz="0" w:space="0" w:color="auto"/>
        <w:bottom w:val="none" w:sz="0" w:space="0" w:color="auto"/>
        <w:right w:val="none" w:sz="0" w:space="0" w:color="auto"/>
      </w:divBdr>
    </w:div>
    <w:div w:id="1781610373">
      <w:bodyDiv w:val="1"/>
      <w:marLeft w:val="0"/>
      <w:marRight w:val="0"/>
      <w:marTop w:val="0"/>
      <w:marBottom w:val="0"/>
      <w:divBdr>
        <w:top w:val="none" w:sz="0" w:space="0" w:color="auto"/>
        <w:left w:val="none" w:sz="0" w:space="0" w:color="auto"/>
        <w:bottom w:val="none" w:sz="0" w:space="0" w:color="auto"/>
        <w:right w:val="none" w:sz="0" w:space="0" w:color="auto"/>
      </w:divBdr>
    </w:div>
    <w:div w:id="1852640055">
      <w:bodyDiv w:val="1"/>
      <w:marLeft w:val="0"/>
      <w:marRight w:val="0"/>
      <w:marTop w:val="0"/>
      <w:marBottom w:val="0"/>
      <w:divBdr>
        <w:top w:val="none" w:sz="0" w:space="0" w:color="auto"/>
        <w:left w:val="none" w:sz="0" w:space="0" w:color="auto"/>
        <w:bottom w:val="none" w:sz="0" w:space="0" w:color="auto"/>
        <w:right w:val="none" w:sz="0" w:space="0" w:color="auto"/>
      </w:divBdr>
    </w:div>
    <w:div w:id="1884518634">
      <w:bodyDiv w:val="1"/>
      <w:marLeft w:val="0"/>
      <w:marRight w:val="0"/>
      <w:marTop w:val="0"/>
      <w:marBottom w:val="0"/>
      <w:divBdr>
        <w:top w:val="none" w:sz="0" w:space="0" w:color="auto"/>
        <w:left w:val="none" w:sz="0" w:space="0" w:color="auto"/>
        <w:bottom w:val="none" w:sz="0" w:space="0" w:color="auto"/>
        <w:right w:val="none" w:sz="0" w:space="0" w:color="auto"/>
      </w:divBdr>
    </w:div>
    <w:div w:id="2059434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2676</TotalTime>
  <Pages>17</Pages>
  <Words>3949</Words>
  <Characters>22515</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17</cp:revision>
  <dcterms:created xsi:type="dcterms:W3CDTF">2021-08-10T12:30:00Z</dcterms:created>
  <dcterms:modified xsi:type="dcterms:W3CDTF">2021-08-17T03:27:00Z</dcterms:modified>
</cp:coreProperties>
</file>