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E6E39" w14:textId="77777777" w:rsidR="003F4CF4" w:rsidRPr="003F4CF4" w:rsidRDefault="003F4CF4" w:rsidP="003F4CF4">
      <w:pPr>
        <w:pStyle w:val="NormalWeb"/>
        <w:spacing w:before="0" w:beforeAutospacing="0" w:after="0" w:afterAutospacing="0"/>
        <w:rPr>
          <w:color w:val="0E101A"/>
        </w:rPr>
      </w:pPr>
      <w:r w:rsidRPr="003F4CF4">
        <w:rPr>
          <w:color w:val="0E101A"/>
        </w:rPr>
        <w:t>Denise Garcia,</w:t>
      </w:r>
    </w:p>
    <w:p w14:paraId="64B7772B" w14:textId="0A5A1DC3" w:rsidR="003F4CF4" w:rsidRPr="003F4CF4" w:rsidRDefault="003F4CF4" w:rsidP="003F4CF4">
      <w:pPr>
        <w:pStyle w:val="NormalWeb"/>
        <w:spacing w:before="0" w:beforeAutospacing="0" w:after="0" w:afterAutospacing="0"/>
        <w:rPr>
          <w:color w:val="0E101A"/>
        </w:rPr>
      </w:pPr>
      <w:r w:rsidRPr="003F4CF4">
        <w:rPr>
          <w:color w:val="0E101A"/>
        </w:rPr>
        <w:t xml:space="preserve">Thank you for a well-written summary of the Baha’i religion. Also, thank you for being vulnerable with us. Like you, the past terrorist events orchestrated by radical Islam insurgents in a way have cemented stereotypes of who I think Muslims are. Constantly, I have to unlearn those stereotypes, biases, and prejudices. In Kenya, where I come from, radical Islam is still a reality. Kenya borders Somalia from whence Al-Shabaab comes. In the past ten years, owing to economic factors, the terrorist group has committed heinous activities in the cities of Nairobi and the counties of </w:t>
      </w:r>
      <w:proofErr w:type="spellStart"/>
      <w:r w:rsidRPr="003F4CF4">
        <w:rPr>
          <w:color w:val="0E101A"/>
        </w:rPr>
        <w:t>Lamu</w:t>
      </w:r>
      <w:proofErr w:type="spellEnd"/>
      <w:r w:rsidRPr="003F4CF4">
        <w:rPr>
          <w:color w:val="0E101A"/>
        </w:rPr>
        <w:t xml:space="preserve"> and Mandera. Honestly, it becomes difficult not to think of Islam negatively. Winfried Corduan concurs and says, “Ideologies such as </w:t>
      </w:r>
      <w:proofErr w:type="spellStart"/>
      <w:r w:rsidRPr="003F4CF4">
        <w:rPr>
          <w:color w:val="0E101A"/>
        </w:rPr>
        <w:t>Qutbism</w:t>
      </w:r>
      <w:proofErr w:type="spellEnd"/>
      <w:r w:rsidRPr="003F4CF4">
        <w:rPr>
          <w:color w:val="0E101A"/>
        </w:rPr>
        <w:t xml:space="preserve"> and groups such as al-Qaeda may even make it hard to love Muslims.</w:t>
      </w:r>
      <w:r w:rsidRPr="003F4CF4">
        <w:rPr>
          <w:rStyle w:val="FootnoteReference"/>
        </w:rPr>
        <w:footnoteReference w:id="1"/>
      </w:r>
      <w:r w:rsidRPr="003F4CF4">
        <w:rPr>
          <w:color w:val="0E101A"/>
        </w:rPr>
        <w:t> That said, and as you have mentioned, God wants us to love them. Jesus tells us in Matthew 5:44 to love our enemies and pray for those who persecute us.</w:t>
      </w:r>
      <w:r w:rsidRPr="003F4CF4">
        <w:rPr>
          <w:rStyle w:val="FootnoteReference"/>
          <w:color w:val="0E101A"/>
        </w:rPr>
        <w:footnoteReference w:id="2"/>
      </w:r>
      <w:r w:rsidRPr="003F4CF4">
        <w:rPr>
          <w:color w:val="0E101A"/>
        </w:rPr>
        <w:t xml:space="preserve"> We should lift our heads high and continue in the assurance that "Still, God has overcome such difficulties in the past, and he has the power to do so again."</w:t>
      </w:r>
      <w:r w:rsidRPr="003F4CF4">
        <w:rPr>
          <w:rStyle w:val="FootnoteReference"/>
        </w:rPr>
        <w:footnoteReference w:id="3"/>
      </w:r>
    </w:p>
    <w:p w14:paraId="1E4F228A" w14:textId="77777777" w:rsidR="003F4CF4" w:rsidRPr="003F4CF4" w:rsidRDefault="003F4CF4">
      <w:pPr>
        <w:rPr>
          <w:rFonts w:ascii="Times New Roman" w:hAnsi="Times New Roman" w:cs="Times New Roman"/>
          <w:sz w:val="24"/>
          <w:szCs w:val="24"/>
        </w:rPr>
      </w:pPr>
    </w:p>
    <w:p w14:paraId="0386C316" w14:textId="77777777" w:rsidR="003F4CF4" w:rsidRPr="003F4CF4" w:rsidRDefault="003F4CF4">
      <w:pPr>
        <w:rPr>
          <w:rFonts w:ascii="Times New Roman" w:hAnsi="Times New Roman" w:cs="Times New Roman"/>
          <w:sz w:val="24"/>
          <w:szCs w:val="24"/>
        </w:rPr>
      </w:pPr>
    </w:p>
    <w:p w14:paraId="28C68CD7" w14:textId="7710A829" w:rsidR="001E35E2" w:rsidRPr="003F4CF4" w:rsidRDefault="003F4CF4">
      <w:pPr>
        <w:rPr>
          <w:rFonts w:ascii="Times New Roman" w:hAnsi="Times New Roman" w:cs="Times New Roman"/>
          <w:sz w:val="24"/>
          <w:szCs w:val="24"/>
        </w:rPr>
      </w:pPr>
      <w:r w:rsidRPr="003F4CF4">
        <w:rPr>
          <w:rFonts w:ascii="Times New Roman" w:hAnsi="Times New Roman" w:cs="Times New Roman"/>
          <w:sz w:val="24"/>
          <w:szCs w:val="24"/>
        </w:rPr>
        <w:t>Bibliography</w:t>
      </w:r>
    </w:p>
    <w:p w14:paraId="318064C5" w14:textId="77777777" w:rsidR="003F4CF4" w:rsidRPr="003F4CF4" w:rsidRDefault="003F4CF4" w:rsidP="003F4CF4">
      <w:pPr>
        <w:pStyle w:val="NormalWeb"/>
        <w:shd w:val="clear" w:color="auto" w:fill="FFFFFF"/>
        <w:spacing w:before="0" w:beforeAutospacing="0" w:after="240" w:afterAutospacing="0"/>
        <w:ind w:left="720" w:hanging="720"/>
        <w:rPr>
          <w:color w:val="212529"/>
        </w:rPr>
      </w:pPr>
      <w:r w:rsidRPr="003F4CF4">
        <w:rPr>
          <w:color w:val="212529"/>
        </w:rPr>
        <w:t>Corduan, Winfried. </w:t>
      </w:r>
      <w:r w:rsidRPr="003F4CF4">
        <w:rPr>
          <w:rStyle w:val="Emphasis"/>
          <w:rFonts w:eastAsiaTheme="majorEastAsia"/>
          <w:color w:val="212529"/>
        </w:rPr>
        <w:t>Neighboring Faiths: A Christian Introduction to World Religions</w:t>
      </w:r>
      <w:r w:rsidRPr="003F4CF4">
        <w:rPr>
          <w:color w:val="212529"/>
        </w:rPr>
        <w:t>. 2nd ed. Downers Grove: InterVarsity Press, 2012.</w:t>
      </w:r>
    </w:p>
    <w:p w14:paraId="551011AC" w14:textId="77777777" w:rsidR="003F4CF4" w:rsidRPr="003F4CF4" w:rsidRDefault="003F4CF4">
      <w:pPr>
        <w:rPr>
          <w:rFonts w:ascii="Times New Roman" w:hAnsi="Times New Roman" w:cs="Times New Roman"/>
          <w:sz w:val="24"/>
          <w:szCs w:val="24"/>
        </w:rPr>
      </w:pPr>
    </w:p>
    <w:sectPr w:rsidR="003F4CF4" w:rsidRPr="003F4C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B7B60" w14:textId="77777777" w:rsidR="008F4349" w:rsidRDefault="008F4349" w:rsidP="00E12EE9">
      <w:pPr>
        <w:spacing w:after="0" w:line="240" w:lineRule="auto"/>
      </w:pPr>
      <w:r>
        <w:separator/>
      </w:r>
    </w:p>
  </w:endnote>
  <w:endnote w:type="continuationSeparator" w:id="0">
    <w:p w14:paraId="180A42DD" w14:textId="77777777" w:rsidR="008F4349" w:rsidRDefault="008F4349" w:rsidP="00E12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A81CC" w14:textId="77777777" w:rsidR="008F4349" w:rsidRDefault="008F4349" w:rsidP="00E12EE9">
      <w:pPr>
        <w:spacing w:after="0" w:line="240" w:lineRule="auto"/>
      </w:pPr>
      <w:r>
        <w:separator/>
      </w:r>
    </w:p>
  </w:footnote>
  <w:footnote w:type="continuationSeparator" w:id="0">
    <w:p w14:paraId="026DE45C" w14:textId="77777777" w:rsidR="008F4349" w:rsidRDefault="008F4349" w:rsidP="00E12EE9">
      <w:pPr>
        <w:spacing w:after="0" w:line="240" w:lineRule="auto"/>
      </w:pPr>
      <w:r>
        <w:continuationSeparator/>
      </w:r>
    </w:p>
  </w:footnote>
  <w:footnote w:id="1">
    <w:p w14:paraId="48371A4F" w14:textId="77777777" w:rsidR="003F4CF4" w:rsidRPr="003F4CF4" w:rsidRDefault="003F4CF4" w:rsidP="003F4CF4">
      <w:pPr>
        <w:pStyle w:val="FootnoteText"/>
        <w:spacing w:before="240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3F4CF4">
        <w:rPr>
          <w:rFonts w:ascii="Times New Roman" w:hAnsi="Times New Roman" w:cs="Times New Roman"/>
          <w:color w:val="212529"/>
        </w:rPr>
        <w:t>Winfried Corduan, </w:t>
      </w:r>
      <w:r w:rsidRPr="003F4CF4">
        <w:rPr>
          <w:rStyle w:val="Emphasis"/>
          <w:rFonts w:ascii="Times New Roman" w:hAnsi="Times New Roman" w:cs="Times New Roman"/>
          <w:color w:val="212529"/>
        </w:rPr>
        <w:t>Neighboring Faiths: A Christian Introduction to World Religions</w:t>
      </w:r>
      <w:r w:rsidRPr="003F4CF4">
        <w:rPr>
          <w:rFonts w:ascii="Times New Roman" w:hAnsi="Times New Roman" w:cs="Times New Roman"/>
          <w:color w:val="212529"/>
        </w:rPr>
        <w:t>. 2nd ed. (Downers Grove: InterVarsity Press, 2012), 165.</w:t>
      </w:r>
    </w:p>
  </w:footnote>
  <w:footnote w:id="2">
    <w:p w14:paraId="3E347311" w14:textId="23AC682D" w:rsidR="003F4CF4" w:rsidRPr="003F4CF4" w:rsidRDefault="003F4CF4" w:rsidP="003F4CF4">
      <w:pPr>
        <w:pStyle w:val="FootnoteText"/>
        <w:spacing w:before="240"/>
        <w:rPr>
          <w:rFonts w:ascii="Times New Roman" w:hAnsi="Times New Roman" w:cs="Times New Roman"/>
        </w:rPr>
      </w:pPr>
      <w:r w:rsidRPr="003F4CF4">
        <w:rPr>
          <w:rStyle w:val="FootnoteReference"/>
          <w:rFonts w:ascii="Times New Roman" w:hAnsi="Times New Roman" w:cs="Times New Roman"/>
        </w:rPr>
        <w:footnoteRef/>
      </w:r>
      <w:r w:rsidRPr="003F4CF4">
        <w:rPr>
          <w:rFonts w:ascii="Times New Roman" w:hAnsi="Times New Roman" w:cs="Times New Roman"/>
        </w:rPr>
        <w:t xml:space="preserve"> </w:t>
      </w:r>
      <w:r w:rsidRPr="003F4CF4">
        <w:rPr>
          <w:rFonts w:ascii="Times New Roman" w:hAnsi="Times New Roman" w:cs="Times New Roman"/>
        </w:rPr>
        <w:t xml:space="preserve">Unless otherwise noted, all biblical passages referenced are in the </w:t>
      </w:r>
      <w:r w:rsidRPr="003F4CF4">
        <w:rPr>
          <w:rFonts w:ascii="Times New Roman" w:hAnsi="Times New Roman" w:cs="Times New Roman"/>
          <w:i/>
          <w:iCs/>
        </w:rPr>
        <w:t>New International Version</w:t>
      </w:r>
      <w:r w:rsidRPr="003F4CF4">
        <w:rPr>
          <w:rFonts w:ascii="Times New Roman" w:hAnsi="Times New Roman" w:cs="Times New Roman"/>
        </w:rPr>
        <w:t xml:space="preserve"> (Grand Rapids, MI: Zondervan, 2011).</w:t>
      </w:r>
    </w:p>
  </w:footnote>
  <w:footnote w:id="3">
    <w:p w14:paraId="710251AD" w14:textId="77777777" w:rsidR="003F4CF4" w:rsidRPr="003F4CF4" w:rsidRDefault="003F4CF4" w:rsidP="003F4CF4">
      <w:pPr>
        <w:pStyle w:val="FootnoteText"/>
        <w:spacing w:before="240"/>
        <w:rPr>
          <w:rFonts w:ascii="Times New Roman" w:hAnsi="Times New Roman" w:cs="Times New Roman"/>
        </w:rPr>
      </w:pPr>
      <w:r w:rsidRPr="003F4CF4">
        <w:rPr>
          <w:rStyle w:val="FootnoteReference"/>
          <w:rFonts w:ascii="Times New Roman" w:hAnsi="Times New Roman" w:cs="Times New Roman"/>
        </w:rPr>
        <w:footnoteRef/>
      </w:r>
      <w:r w:rsidRPr="003F4CF4">
        <w:rPr>
          <w:rFonts w:ascii="Times New Roman" w:hAnsi="Times New Roman" w:cs="Times New Roman"/>
        </w:rPr>
        <w:t xml:space="preserve"> Ibid., 165.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5E2"/>
    <w:rsid w:val="001E35E2"/>
    <w:rsid w:val="003F4CF4"/>
    <w:rsid w:val="008F4349"/>
    <w:rsid w:val="00960237"/>
    <w:rsid w:val="00E1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2665D"/>
  <w15:chartTrackingRefBased/>
  <w15:docId w15:val="{11D1F488-17DF-4725-B9CA-12B5FDD87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12EE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2E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12EE9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E12EE9"/>
    <w:rPr>
      <w:i/>
      <w:iCs/>
    </w:rPr>
  </w:style>
  <w:style w:type="paragraph" w:styleId="NormalWeb">
    <w:name w:val="Normal (Web)"/>
    <w:basedOn w:val="Normal"/>
    <w:uiPriority w:val="99"/>
    <w:unhideWhenUsed/>
    <w:rsid w:val="003F4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F4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0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8B1E6379-57C8-4806-BBA9-44E5D1ED1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2021-07-18T23:20:00Z</dcterms:created>
  <dcterms:modified xsi:type="dcterms:W3CDTF">2021-07-18T23:48:00Z</dcterms:modified>
</cp:coreProperties>
</file>