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26D56" w14:textId="77777777" w:rsidR="003A167A" w:rsidRPr="003A167A" w:rsidRDefault="003A167A" w:rsidP="0042557F">
      <w:pPr>
        <w:spacing w:before="240" w:after="0" w:line="240" w:lineRule="auto"/>
        <w:rPr>
          <w:rFonts w:ascii="Times New Roman" w:eastAsia="Times New Roman" w:hAnsi="Times New Roman" w:cs="Times New Roman"/>
          <w:color w:val="0E101A"/>
          <w:sz w:val="24"/>
          <w:szCs w:val="24"/>
        </w:rPr>
      </w:pPr>
      <w:r w:rsidRPr="003A167A">
        <w:rPr>
          <w:rFonts w:ascii="Times New Roman" w:eastAsia="Times New Roman" w:hAnsi="Times New Roman" w:cs="Times New Roman"/>
          <w:color w:val="0E101A"/>
          <w:sz w:val="24"/>
          <w:szCs w:val="24"/>
        </w:rPr>
        <w:t>Joshua,</w:t>
      </w:r>
    </w:p>
    <w:p w14:paraId="69E6BBE9" w14:textId="533F295F" w:rsidR="003A167A" w:rsidRPr="003A167A" w:rsidRDefault="003A167A" w:rsidP="0042557F">
      <w:pPr>
        <w:spacing w:before="240" w:after="0" w:line="240" w:lineRule="auto"/>
        <w:rPr>
          <w:rFonts w:ascii="Times New Roman" w:eastAsia="Times New Roman" w:hAnsi="Times New Roman" w:cs="Times New Roman"/>
          <w:color w:val="0E101A"/>
          <w:sz w:val="24"/>
          <w:szCs w:val="24"/>
        </w:rPr>
      </w:pPr>
      <w:r w:rsidRPr="003A167A">
        <w:rPr>
          <w:rFonts w:ascii="Times New Roman" w:eastAsia="Times New Roman" w:hAnsi="Times New Roman" w:cs="Times New Roman"/>
          <w:color w:val="0E101A"/>
          <w:sz w:val="24"/>
          <w:szCs w:val="24"/>
        </w:rPr>
        <w:t xml:space="preserve">I admired the emphasis you gave on Christ’s works and how they mean a ton to us who believe. Indeed, Christianity is based on the actions of Jesus Christ. Without his death, burial and resurrection, we have </w:t>
      </w:r>
      <w:r w:rsidR="0042557F">
        <w:rPr>
          <w:rFonts w:ascii="Times New Roman" w:eastAsia="Times New Roman" w:hAnsi="Times New Roman" w:cs="Times New Roman"/>
          <w:color w:val="0E101A"/>
          <w:sz w:val="24"/>
          <w:szCs w:val="24"/>
        </w:rPr>
        <w:t xml:space="preserve">not only </w:t>
      </w:r>
      <w:r w:rsidRPr="003A167A">
        <w:rPr>
          <w:rFonts w:ascii="Times New Roman" w:eastAsia="Times New Roman" w:hAnsi="Times New Roman" w:cs="Times New Roman"/>
          <w:color w:val="0E101A"/>
          <w:sz w:val="24"/>
          <w:szCs w:val="24"/>
        </w:rPr>
        <w:t>nothing</w:t>
      </w:r>
      <w:r w:rsidR="0042557F">
        <w:rPr>
          <w:rFonts w:ascii="Times New Roman" w:eastAsia="Times New Roman" w:hAnsi="Times New Roman" w:cs="Times New Roman"/>
          <w:color w:val="0E101A"/>
          <w:sz w:val="24"/>
          <w:szCs w:val="24"/>
        </w:rPr>
        <w:t xml:space="preserve"> but o</w:t>
      </w:r>
      <w:r w:rsidRPr="003A167A">
        <w:rPr>
          <w:rFonts w:ascii="Times New Roman" w:eastAsia="Times New Roman" w:hAnsi="Times New Roman" w:cs="Times New Roman"/>
          <w:color w:val="0E101A"/>
          <w:sz w:val="24"/>
          <w:szCs w:val="24"/>
        </w:rPr>
        <w:t xml:space="preserve">ur religion </w:t>
      </w:r>
      <w:r w:rsidR="0042557F">
        <w:rPr>
          <w:rFonts w:ascii="Times New Roman" w:eastAsia="Times New Roman" w:hAnsi="Times New Roman" w:cs="Times New Roman"/>
          <w:color w:val="0E101A"/>
          <w:sz w:val="24"/>
          <w:szCs w:val="24"/>
        </w:rPr>
        <w:t xml:space="preserve">also </w:t>
      </w:r>
      <w:r w:rsidRPr="003A167A">
        <w:rPr>
          <w:rFonts w:ascii="Times New Roman" w:eastAsia="Times New Roman" w:hAnsi="Times New Roman" w:cs="Times New Roman"/>
          <w:color w:val="0E101A"/>
          <w:sz w:val="24"/>
          <w:szCs w:val="24"/>
        </w:rPr>
        <w:t>is in vain. Our salvation is firmly anchored in th</w:t>
      </w:r>
      <w:r w:rsidR="0042557F">
        <w:rPr>
          <w:rFonts w:ascii="Times New Roman" w:eastAsia="Times New Roman" w:hAnsi="Times New Roman" w:cs="Times New Roman"/>
          <w:color w:val="0E101A"/>
          <w:sz w:val="24"/>
          <w:szCs w:val="24"/>
        </w:rPr>
        <w:t>is very</w:t>
      </w:r>
      <w:r w:rsidRPr="003A167A">
        <w:rPr>
          <w:rFonts w:ascii="Times New Roman" w:eastAsia="Times New Roman" w:hAnsi="Times New Roman" w:cs="Times New Roman"/>
          <w:color w:val="0E101A"/>
          <w:sz w:val="24"/>
          <w:szCs w:val="24"/>
        </w:rPr>
        <w:t xml:space="preserve"> fact</w:t>
      </w:r>
      <w:r w:rsidR="0042557F">
        <w:rPr>
          <w:rFonts w:ascii="Times New Roman" w:eastAsia="Times New Roman" w:hAnsi="Times New Roman" w:cs="Times New Roman"/>
          <w:color w:val="0E101A"/>
          <w:sz w:val="24"/>
          <w:szCs w:val="24"/>
        </w:rPr>
        <w:t>-</w:t>
      </w:r>
      <w:r w:rsidRPr="003A167A">
        <w:rPr>
          <w:rFonts w:ascii="Times New Roman" w:eastAsia="Times New Roman" w:hAnsi="Times New Roman" w:cs="Times New Roman"/>
          <w:color w:val="0E101A"/>
          <w:sz w:val="24"/>
          <w:szCs w:val="24"/>
        </w:rPr>
        <w:t xml:space="preserve"> that Christ died for our sins. As Paul avers, </w:t>
      </w:r>
      <w:r w:rsidRPr="003A167A">
        <w:rPr>
          <w:rFonts w:ascii="Times New Roman" w:eastAsia="Times New Roman" w:hAnsi="Times New Roman" w:cs="Times New Roman"/>
          <w:b/>
          <w:bCs/>
          <w:color w:val="0E101A"/>
          <w:sz w:val="24"/>
          <w:szCs w:val="24"/>
        </w:rPr>
        <w:t>“</w:t>
      </w:r>
      <w:r w:rsidRPr="003A167A">
        <w:rPr>
          <w:rFonts w:ascii="Times New Roman" w:eastAsia="Times New Roman" w:hAnsi="Times New Roman" w:cs="Times New Roman"/>
          <w:color w:val="0E101A"/>
          <w:sz w:val="24"/>
          <w:szCs w:val="24"/>
        </w:rPr>
        <w:t>For it is by grace you have been saved, through faith—and this is not from yourselves, it is the gift of God— not by works, so that no one can boast” (Eph 2:8-9, NIV).</w:t>
      </w:r>
      <w:r w:rsidRPr="0042557F">
        <w:rPr>
          <w:rStyle w:val="FootnoteReference"/>
          <w:rFonts w:ascii="Times New Roman" w:eastAsia="Times New Roman" w:hAnsi="Times New Roman" w:cs="Times New Roman"/>
          <w:color w:val="0E101A"/>
          <w:sz w:val="24"/>
          <w:szCs w:val="24"/>
        </w:rPr>
        <w:footnoteReference w:id="1"/>
      </w:r>
      <w:r w:rsidR="0042557F" w:rsidRPr="0042557F">
        <w:rPr>
          <w:rFonts w:ascii="Times New Roman" w:eastAsia="Times New Roman" w:hAnsi="Times New Roman" w:cs="Times New Roman"/>
          <w:color w:val="0E101A"/>
          <w:sz w:val="24"/>
          <w:szCs w:val="24"/>
        </w:rPr>
        <w:t xml:space="preserve"> </w:t>
      </w:r>
      <w:r w:rsidRPr="003A167A">
        <w:rPr>
          <w:rFonts w:ascii="Times New Roman" w:eastAsia="Times New Roman" w:hAnsi="Times New Roman" w:cs="Times New Roman"/>
          <w:color w:val="0E101A"/>
          <w:sz w:val="24"/>
          <w:szCs w:val="24"/>
        </w:rPr>
        <w:t xml:space="preserve">Another thing that I wanted to point out is how you defined inclusivism. You said, "Inclusivism is exactly what it sounds like—an inclusion of other beliefs and traditions as viable ways to achieve salvation or access to God." In my view, I think your definition leans more towards pluralism than </w:t>
      </w:r>
      <w:r w:rsidR="0042557F">
        <w:rPr>
          <w:rFonts w:ascii="Times New Roman" w:eastAsia="Times New Roman" w:hAnsi="Times New Roman" w:cs="Times New Roman"/>
          <w:color w:val="0E101A"/>
          <w:sz w:val="24"/>
          <w:szCs w:val="24"/>
        </w:rPr>
        <w:t>inclusivism</w:t>
      </w:r>
      <w:r w:rsidRPr="003A167A">
        <w:rPr>
          <w:rFonts w:ascii="Times New Roman" w:eastAsia="Times New Roman" w:hAnsi="Times New Roman" w:cs="Times New Roman"/>
          <w:color w:val="0E101A"/>
          <w:sz w:val="24"/>
          <w:szCs w:val="24"/>
        </w:rPr>
        <w:t xml:space="preserve">. In the real sense, inclusivism is a mesh of both exclusivism and pluralism. From Winfried </w:t>
      </w:r>
      <w:proofErr w:type="spellStart"/>
      <w:r w:rsidRPr="003A167A">
        <w:rPr>
          <w:rFonts w:ascii="Times New Roman" w:eastAsia="Times New Roman" w:hAnsi="Times New Roman" w:cs="Times New Roman"/>
          <w:color w:val="0E101A"/>
          <w:sz w:val="24"/>
          <w:szCs w:val="24"/>
        </w:rPr>
        <w:t>Corduan's</w:t>
      </w:r>
      <w:proofErr w:type="spellEnd"/>
      <w:r w:rsidRPr="003A167A">
        <w:rPr>
          <w:rFonts w:ascii="Times New Roman" w:eastAsia="Times New Roman" w:hAnsi="Times New Roman" w:cs="Times New Roman"/>
          <w:color w:val="0E101A"/>
          <w:sz w:val="24"/>
          <w:szCs w:val="24"/>
        </w:rPr>
        <w:t xml:space="preserve"> definition, “Inclusivism is the view that there is actually only one true religion, but other religions are either imperfect versions of it, or adherents of other religions, even though they may not know it, actually receive the benefits of that one prototype religion.”</w:t>
      </w:r>
      <w:r w:rsidRPr="0042557F">
        <w:rPr>
          <w:rStyle w:val="FootnoteReference"/>
          <w:rFonts w:ascii="Times New Roman" w:hAnsi="Times New Roman" w:cs="Times New Roman"/>
          <w:color w:val="000000"/>
          <w:sz w:val="24"/>
          <w:szCs w:val="24"/>
          <w:shd w:val="clear" w:color="auto" w:fill="FFFFFF"/>
        </w:rPr>
        <w:footnoteReference w:id="2"/>
      </w:r>
      <w:r w:rsidRPr="003A167A">
        <w:rPr>
          <w:rFonts w:ascii="Times New Roman" w:eastAsia="Times New Roman" w:hAnsi="Times New Roman" w:cs="Times New Roman"/>
          <w:color w:val="0E101A"/>
          <w:sz w:val="24"/>
          <w:szCs w:val="24"/>
        </w:rPr>
        <w:t> Put differently, inclusivism is exclusivism accommodating pluralism. </w:t>
      </w:r>
    </w:p>
    <w:p w14:paraId="26D3E5D0" w14:textId="00E5DE51" w:rsidR="003A167A" w:rsidRDefault="003A167A">
      <w:pPr>
        <w:rPr>
          <w:rStyle w:val="text"/>
          <w:rFonts w:ascii="Times New Roman" w:hAnsi="Times New Roman" w:cs="Times New Roman"/>
          <w:color w:val="000000"/>
          <w:sz w:val="24"/>
          <w:szCs w:val="24"/>
          <w:shd w:val="clear" w:color="auto" w:fill="FFFFFF"/>
        </w:rPr>
      </w:pPr>
    </w:p>
    <w:p w14:paraId="0D8E69E0" w14:textId="0F3293B2" w:rsidR="0042557F" w:rsidRDefault="0042557F">
      <w:pPr>
        <w:rPr>
          <w:rStyle w:val="text"/>
          <w:rFonts w:ascii="Times New Roman" w:hAnsi="Times New Roman" w:cs="Times New Roman"/>
          <w:color w:val="000000"/>
          <w:sz w:val="24"/>
          <w:szCs w:val="24"/>
          <w:shd w:val="clear" w:color="auto" w:fill="FFFFFF"/>
        </w:rPr>
      </w:pPr>
      <w:r>
        <w:rPr>
          <w:rStyle w:val="text"/>
          <w:rFonts w:ascii="Times New Roman" w:hAnsi="Times New Roman" w:cs="Times New Roman"/>
          <w:color w:val="000000"/>
          <w:sz w:val="24"/>
          <w:szCs w:val="24"/>
          <w:shd w:val="clear" w:color="auto" w:fill="FFFFFF"/>
        </w:rPr>
        <w:t>(255 words)</w:t>
      </w:r>
    </w:p>
    <w:p w14:paraId="10254572" w14:textId="77777777" w:rsidR="0042557F" w:rsidRPr="0042557F" w:rsidRDefault="0042557F">
      <w:pPr>
        <w:rPr>
          <w:rStyle w:val="text"/>
          <w:rFonts w:ascii="Times New Roman" w:hAnsi="Times New Roman" w:cs="Times New Roman"/>
          <w:color w:val="000000"/>
          <w:sz w:val="24"/>
          <w:szCs w:val="24"/>
          <w:shd w:val="clear" w:color="auto" w:fill="FFFFFF"/>
        </w:rPr>
      </w:pPr>
    </w:p>
    <w:p w14:paraId="1363AFD0" w14:textId="6E133BF0" w:rsidR="003A167A" w:rsidRPr="0042557F" w:rsidRDefault="003A167A">
      <w:pPr>
        <w:rPr>
          <w:rFonts w:ascii="Times New Roman" w:hAnsi="Times New Roman" w:cs="Times New Roman"/>
          <w:b/>
          <w:bCs/>
          <w:sz w:val="24"/>
          <w:szCs w:val="24"/>
        </w:rPr>
      </w:pPr>
      <w:r w:rsidRPr="0042557F">
        <w:rPr>
          <w:rStyle w:val="text"/>
          <w:rFonts w:ascii="Times New Roman" w:hAnsi="Times New Roman" w:cs="Times New Roman"/>
          <w:b/>
          <w:bCs/>
          <w:color w:val="000000"/>
          <w:sz w:val="24"/>
          <w:szCs w:val="24"/>
          <w:shd w:val="clear" w:color="auto" w:fill="FFFFFF"/>
        </w:rPr>
        <w:t>Bibliography</w:t>
      </w:r>
    </w:p>
    <w:p w14:paraId="4D71BB86" w14:textId="77777777" w:rsidR="003A167A" w:rsidRPr="0042557F" w:rsidRDefault="003A167A" w:rsidP="003A167A">
      <w:pPr>
        <w:pStyle w:val="NormalWeb"/>
        <w:shd w:val="clear" w:color="auto" w:fill="FFFFFF"/>
        <w:spacing w:before="0" w:beforeAutospacing="0"/>
        <w:ind w:left="720" w:hanging="720"/>
        <w:rPr>
          <w:color w:val="212529"/>
        </w:rPr>
      </w:pPr>
      <w:r w:rsidRPr="0042557F">
        <w:rPr>
          <w:color w:val="212529"/>
        </w:rPr>
        <w:t>Corduan, Winfried. </w:t>
      </w:r>
      <w:r w:rsidRPr="0042557F">
        <w:rPr>
          <w:rStyle w:val="Emphasis"/>
          <w:color w:val="212529"/>
        </w:rPr>
        <w:t>Neighboring Faiths: A Christian Introduction to World Religions</w:t>
      </w:r>
      <w:r w:rsidRPr="0042557F">
        <w:rPr>
          <w:color w:val="212529"/>
        </w:rPr>
        <w:t>. 2nd ed. Downers Grove: InterVarsity Press, 2012.</w:t>
      </w:r>
    </w:p>
    <w:p w14:paraId="50AAB55B" w14:textId="77777777" w:rsidR="00234239" w:rsidRPr="0042557F" w:rsidRDefault="00234239">
      <w:pPr>
        <w:rPr>
          <w:rFonts w:ascii="Times New Roman" w:hAnsi="Times New Roman" w:cs="Times New Roman"/>
          <w:sz w:val="24"/>
          <w:szCs w:val="24"/>
        </w:rPr>
      </w:pPr>
    </w:p>
    <w:sectPr w:rsidR="00234239" w:rsidRPr="0042557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D1ACB" w14:textId="77777777" w:rsidR="00FE7BAE" w:rsidRDefault="00FE7BAE" w:rsidP="00295D25">
      <w:pPr>
        <w:spacing w:after="0" w:line="240" w:lineRule="auto"/>
      </w:pPr>
      <w:r>
        <w:separator/>
      </w:r>
    </w:p>
  </w:endnote>
  <w:endnote w:type="continuationSeparator" w:id="0">
    <w:p w14:paraId="187C67DF" w14:textId="77777777" w:rsidR="00FE7BAE" w:rsidRDefault="00FE7BAE" w:rsidP="00295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2ECCF" w14:textId="77777777" w:rsidR="00FE7BAE" w:rsidRDefault="00FE7BAE" w:rsidP="00295D25">
      <w:pPr>
        <w:spacing w:after="0" w:line="240" w:lineRule="auto"/>
      </w:pPr>
      <w:r>
        <w:separator/>
      </w:r>
    </w:p>
  </w:footnote>
  <w:footnote w:type="continuationSeparator" w:id="0">
    <w:p w14:paraId="5D00186E" w14:textId="77777777" w:rsidR="00FE7BAE" w:rsidRDefault="00FE7BAE" w:rsidP="00295D25">
      <w:pPr>
        <w:spacing w:after="0" w:line="240" w:lineRule="auto"/>
      </w:pPr>
      <w:r>
        <w:continuationSeparator/>
      </w:r>
    </w:p>
  </w:footnote>
  <w:footnote w:id="1">
    <w:p w14:paraId="2811BBF3" w14:textId="30A2C0A4" w:rsidR="003A167A" w:rsidRPr="0042557F" w:rsidRDefault="003A167A" w:rsidP="0042557F">
      <w:pPr>
        <w:pStyle w:val="FootnoteText"/>
        <w:spacing w:before="240"/>
        <w:ind w:firstLine="720"/>
        <w:rPr>
          <w:rFonts w:ascii="Times New Roman" w:hAnsi="Times New Roman" w:cs="Times New Roman"/>
        </w:rPr>
      </w:pPr>
      <w:r>
        <w:rPr>
          <w:rStyle w:val="FootnoteReference"/>
        </w:rPr>
        <w:footnoteRef/>
      </w:r>
      <w:r>
        <w:t xml:space="preserve"> </w:t>
      </w:r>
      <w:r w:rsidR="0042557F" w:rsidRPr="0042557F">
        <w:rPr>
          <w:rFonts w:ascii="Times New Roman" w:hAnsi="Times New Roman" w:cs="Times New Roman"/>
        </w:rPr>
        <w:t xml:space="preserve">Unless otherwise noted, all biblical passages referenced are in the </w:t>
      </w:r>
      <w:r w:rsidR="0042557F" w:rsidRPr="0042557F">
        <w:rPr>
          <w:rFonts w:ascii="Times New Roman" w:hAnsi="Times New Roman" w:cs="Times New Roman"/>
          <w:i/>
          <w:iCs/>
        </w:rPr>
        <w:t>New International Version</w:t>
      </w:r>
      <w:r w:rsidR="0042557F" w:rsidRPr="0042557F">
        <w:rPr>
          <w:rFonts w:ascii="Times New Roman" w:hAnsi="Times New Roman" w:cs="Times New Roman"/>
        </w:rPr>
        <w:t xml:space="preserve"> (Grand Rapids, MI: Zondervan, 2011).</w:t>
      </w:r>
    </w:p>
  </w:footnote>
  <w:footnote w:id="2">
    <w:p w14:paraId="773EFB91" w14:textId="77777777" w:rsidR="003A167A" w:rsidRDefault="003A167A" w:rsidP="0042557F">
      <w:pPr>
        <w:pStyle w:val="FootnoteText"/>
        <w:spacing w:before="240"/>
        <w:ind w:firstLine="720"/>
      </w:pPr>
      <w:r w:rsidRPr="0042557F">
        <w:rPr>
          <w:rStyle w:val="FootnoteReference"/>
          <w:rFonts w:ascii="Times New Roman" w:hAnsi="Times New Roman" w:cs="Times New Roman"/>
        </w:rPr>
        <w:footnoteRef/>
      </w:r>
      <w:r w:rsidRPr="0042557F">
        <w:rPr>
          <w:rFonts w:ascii="Times New Roman" w:hAnsi="Times New Roman" w:cs="Times New Roman"/>
        </w:rPr>
        <w:t xml:space="preserve"> </w:t>
      </w:r>
      <w:r w:rsidRPr="0042557F">
        <w:rPr>
          <w:rFonts w:ascii="Times New Roman" w:hAnsi="Times New Roman" w:cs="Times New Roman"/>
          <w:color w:val="212529"/>
        </w:rPr>
        <w:t>Winfried Corduan, </w:t>
      </w:r>
      <w:r w:rsidRPr="0042557F">
        <w:rPr>
          <w:rStyle w:val="Emphasis"/>
          <w:rFonts w:ascii="Times New Roman" w:hAnsi="Times New Roman" w:cs="Times New Roman"/>
          <w:color w:val="212529"/>
        </w:rPr>
        <w:t>Neighboring Faiths: A Christian Introduction to World Religions</w:t>
      </w:r>
      <w:r w:rsidRPr="0042557F">
        <w:rPr>
          <w:rFonts w:ascii="Times New Roman" w:hAnsi="Times New Roman" w:cs="Times New Roman"/>
          <w:color w:val="212529"/>
        </w:rPr>
        <w:t>. 2nd ed. (Downers Grove: InterVarsity Press, 2012), 56.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239"/>
    <w:rsid w:val="00234239"/>
    <w:rsid w:val="00295D25"/>
    <w:rsid w:val="003A167A"/>
    <w:rsid w:val="0042557F"/>
    <w:rsid w:val="00674715"/>
    <w:rsid w:val="00A50DA6"/>
    <w:rsid w:val="00FE7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E3B64"/>
  <w15:chartTrackingRefBased/>
  <w15:docId w15:val="{1C7BDDB0-CF59-4387-B9E1-EC75B4189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234239"/>
  </w:style>
  <w:style w:type="paragraph" w:styleId="FootnoteText">
    <w:name w:val="footnote text"/>
    <w:basedOn w:val="Normal"/>
    <w:link w:val="FootnoteTextChar"/>
    <w:uiPriority w:val="99"/>
    <w:semiHidden/>
    <w:unhideWhenUsed/>
    <w:rsid w:val="00295D2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95D25"/>
    <w:rPr>
      <w:sz w:val="20"/>
      <w:szCs w:val="20"/>
    </w:rPr>
  </w:style>
  <w:style w:type="character" w:styleId="FootnoteReference">
    <w:name w:val="footnote reference"/>
    <w:basedOn w:val="DefaultParagraphFont"/>
    <w:uiPriority w:val="99"/>
    <w:semiHidden/>
    <w:unhideWhenUsed/>
    <w:rsid w:val="00295D25"/>
    <w:rPr>
      <w:vertAlign w:val="superscript"/>
    </w:rPr>
  </w:style>
  <w:style w:type="character" w:styleId="Emphasis">
    <w:name w:val="Emphasis"/>
    <w:basedOn w:val="DefaultParagraphFont"/>
    <w:uiPriority w:val="20"/>
    <w:qFormat/>
    <w:rsid w:val="00295D25"/>
    <w:rPr>
      <w:i/>
      <w:iCs/>
    </w:rPr>
  </w:style>
  <w:style w:type="paragraph" w:styleId="NormalWeb">
    <w:name w:val="Normal (Web)"/>
    <w:basedOn w:val="Normal"/>
    <w:uiPriority w:val="99"/>
    <w:unhideWhenUsed/>
    <w:rsid w:val="003A167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A167A"/>
    <w:rPr>
      <w:b/>
      <w:bCs/>
    </w:rPr>
  </w:style>
  <w:style w:type="character" w:styleId="Hyperlink">
    <w:name w:val="Hyperlink"/>
    <w:basedOn w:val="DefaultParagraphFont"/>
    <w:uiPriority w:val="99"/>
    <w:semiHidden/>
    <w:unhideWhenUsed/>
    <w:rsid w:val="003A16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659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8AAFF287-6181-456C-AD4F-3ECD8673D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215</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2021-07-03T19:24:00Z</dcterms:created>
  <dcterms:modified xsi:type="dcterms:W3CDTF">2021-07-03T20:11:00Z</dcterms:modified>
</cp:coreProperties>
</file>