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A03709" w14:textId="600A6638" w:rsidR="00CA2F08" w:rsidRPr="005A18FB" w:rsidRDefault="00646DB4" w:rsidP="00CA2F08">
      <w:pPr>
        <w:pStyle w:val="NormalWeb"/>
        <w:shd w:val="clear" w:color="auto" w:fill="FFFFFF"/>
        <w:spacing w:before="0" w:beforeAutospacing="0"/>
        <w:rPr>
          <w:color w:val="212529"/>
        </w:rPr>
      </w:pPr>
      <w:r w:rsidRPr="005A18FB">
        <w:rPr>
          <w:color w:val="212529"/>
        </w:rPr>
        <w:t xml:space="preserve">Many </w:t>
      </w:r>
      <w:r w:rsidR="00D579D1" w:rsidRPr="005A18FB">
        <w:rPr>
          <w:color w:val="212529"/>
        </w:rPr>
        <w:t>scholars</w:t>
      </w:r>
      <w:r w:rsidRPr="005A18FB">
        <w:rPr>
          <w:color w:val="212529"/>
        </w:rPr>
        <w:t xml:space="preserve"> spill a great deal of ink talking about religion. The reason is that </w:t>
      </w:r>
      <w:r w:rsidR="00467035" w:rsidRPr="005A18FB">
        <w:rPr>
          <w:color w:val="212529"/>
        </w:rPr>
        <w:t xml:space="preserve">though </w:t>
      </w:r>
      <w:r w:rsidRPr="005A18FB">
        <w:rPr>
          <w:color w:val="212529"/>
        </w:rPr>
        <w:t>r</w:t>
      </w:r>
      <w:r w:rsidR="00CA2F08" w:rsidRPr="005A18FB">
        <w:rPr>
          <w:color w:val="212529"/>
        </w:rPr>
        <w:t>eligion is as old as the human race</w:t>
      </w:r>
      <w:r w:rsidR="00467035" w:rsidRPr="005A18FB">
        <w:rPr>
          <w:color w:val="212529"/>
        </w:rPr>
        <w:t xml:space="preserve">, </w:t>
      </w:r>
      <w:r w:rsidR="00CA2F08" w:rsidRPr="005A18FB">
        <w:rPr>
          <w:color w:val="212529"/>
        </w:rPr>
        <w:t>its emphases continue to evolve every now and th</w:t>
      </w:r>
      <w:r w:rsidR="00467035" w:rsidRPr="005A18FB">
        <w:rPr>
          <w:color w:val="212529"/>
        </w:rPr>
        <w:t>en.</w:t>
      </w:r>
      <w:r w:rsidR="00CA2F08" w:rsidRPr="005A18FB">
        <w:rPr>
          <w:color w:val="212529"/>
        </w:rPr>
        <w:t xml:space="preserve">. </w:t>
      </w:r>
      <w:r w:rsidR="0080528B" w:rsidRPr="005A18FB">
        <w:rPr>
          <w:color w:val="212529"/>
        </w:rPr>
        <w:t>That said,</w:t>
      </w:r>
      <w:r w:rsidR="003F5AAC">
        <w:rPr>
          <w:color w:val="212529"/>
        </w:rPr>
        <w:t xml:space="preserve"> in the last century, there has been an increasing awareness of other religions by any particular people</w:t>
      </w:r>
      <w:r w:rsidR="0080528B" w:rsidRPr="005A18FB">
        <w:rPr>
          <w:color w:val="212529"/>
        </w:rPr>
        <w:t xml:space="preserve">. </w:t>
      </w:r>
      <w:r w:rsidR="003F5AAC">
        <w:rPr>
          <w:color w:val="212529"/>
        </w:rPr>
        <w:t xml:space="preserve">Because of that awareness, </w:t>
      </w:r>
      <w:r w:rsidR="0080528B" w:rsidRPr="005A18FB">
        <w:rPr>
          <w:color w:val="212529"/>
        </w:rPr>
        <w:t xml:space="preserve">it becomes very important to talk about words such as pluralism, exclusivism and inclusivism. </w:t>
      </w:r>
      <w:r w:rsidR="00CA2F08" w:rsidRPr="005A18FB">
        <w:rPr>
          <w:color w:val="212529"/>
        </w:rPr>
        <w:t>According to Winfried Corduan</w:t>
      </w:r>
      <w:r w:rsidR="0080528B" w:rsidRPr="005A18FB">
        <w:rPr>
          <w:color w:val="212529"/>
        </w:rPr>
        <w:t>,</w:t>
      </w:r>
      <w:r w:rsidR="00CA2F08" w:rsidRPr="005A18FB">
        <w:rPr>
          <w:color w:val="212529"/>
        </w:rPr>
        <w:t xml:space="preserve"> </w:t>
      </w:r>
      <w:r w:rsidR="0080528B" w:rsidRPr="005A18FB">
        <w:rPr>
          <w:color w:val="212529"/>
        </w:rPr>
        <w:t>“</w:t>
      </w:r>
      <w:r w:rsidR="00CA2F08" w:rsidRPr="005A18FB">
        <w:rPr>
          <w:color w:val="212529"/>
        </w:rPr>
        <w:t>Pluralism is the view that all religions are equally true.</w:t>
      </w:r>
      <w:r w:rsidR="0080528B" w:rsidRPr="005A18FB">
        <w:rPr>
          <w:color w:val="212529"/>
        </w:rPr>
        <w:t>”</w:t>
      </w:r>
      <w:r w:rsidR="0080528B" w:rsidRPr="005A18FB">
        <w:rPr>
          <w:rStyle w:val="FootnoteReference"/>
          <w:color w:val="212529"/>
        </w:rPr>
        <w:footnoteReference w:id="1"/>
      </w:r>
      <w:r w:rsidR="00CA2F08" w:rsidRPr="005A18FB">
        <w:rPr>
          <w:color w:val="212529"/>
        </w:rPr>
        <w:t xml:space="preserve"> </w:t>
      </w:r>
      <w:r w:rsidR="008C79BA" w:rsidRPr="005A18FB">
        <w:rPr>
          <w:color w:val="212529"/>
        </w:rPr>
        <w:t xml:space="preserve">At the philosophical level, </w:t>
      </w:r>
      <w:r w:rsidR="008C79BA" w:rsidRPr="005A18FB">
        <w:t>religious pluralism is a claim that diverse religious standpoints on an issue are equally valid and at par</w:t>
      </w:r>
      <w:r w:rsidR="008C79BA" w:rsidRPr="005A18FB">
        <w:rPr>
          <w:color w:val="212529"/>
        </w:rPr>
        <w:t>.</w:t>
      </w:r>
      <w:r w:rsidR="008C79BA" w:rsidRPr="005A18FB">
        <w:rPr>
          <w:rStyle w:val="FootnoteReference"/>
          <w:color w:val="212529"/>
        </w:rPr>
        <w:footnoteReference w:id="2"/>
      </w:r>
      <w:r w:rsidR="005F6378" w:rsidRPr="005A18FB">
        <w:rPr>
          <w:color w:val="212529"/>
        </w:rPr>
        <w:t>Todd Miles notes, “</w:t>
      </w:r>
      <w:r w:rsidR="0080528B" w:rsidRPr="005A18FB">
        <w:rPr>
          <w:color w:val="212529"/>
        </w:rPr>
        <w:t xml:space="preserve">At the popular level, pluralism is best understood by the notion, </w:t>
      </w:r>
      <w:r w:rsidR="005F6378" w:rsidRPr="005A18FB">
        <w:rPr>
          <w:color w:val="212529"/>
        </w:rPr>
        <w:t>‘</w:t>
      </w:r>
      <w:r w:rsidR="0080528B" w:rsidRPr="005A18FB">
        <w:rPr>
          <w:color w:val="212529"/>
        </w:rPr>
        <w:t>All roads lead to God.”</w:t>
      </w:r>
      <w:r w:rsidR="0080528B" w:rsidRPr="005A18FB">
        <w:rPr>
          <w:rStyle w:val="FootnoteReference"/>
          <w:color w:val="212529"/>
        </w:rPr>
        <w:footnoteReference w:id="3"/>
      </w:r>
      <w:r w:rsidR="005F6378" w:rsidRPr="005A18FB">
        <w:rPr>
          <w:color w:val="212529"/>
        </w:rPr>
        <w:t xml:space="preserve"> </w:t>
      </w:r>
      <w:r w:rsidR="00CA2F08" w:rsidRPr="005A18FB">
        <w:rPr>
          <w:color w:val="212529"/>
        </w:rPr>
        <w:t xml:space="preserve">Exclusivism </w:t>
      </w:r>
      <w:r w:rsidR="005F6378" w:rsidRPr="005A18FB">
        <w:rPr>
          <w:color w:val="212529"/>
        </w:rPr>
        <w:t>on the other hand is the opposite. Precisely it is</w:t>
      </w:r>
      <w:r w:rsidR="00CA2F08" w:rsidRPr="005A18FB">
        <w:rPr>
          <w:color w:val="212529"/>
        </w:rPr>
        <w:t xml:space="preserve"> </w:t>
      </w:r>
      <w:r w:rsidR="005F6378" w:rsidRPr="005A18FB">
        <w:rPr>
          <w:color w:val="212529"/>
        </w:rPr>
        <w:t>“</w:t>
      </w:r>
      <w:r w:rsidR="00CA2F08" w:rsidRPr="005A18FB">
        <w:rPr>
          <w:color w:val="212529"/>
        </w:rPr>
        <w:t>the view that only one religion is true and that all others are false.</w:t>
      </w:r>
      <w:r w:rsidR="005F6378" w:rsidRPr="005A18FB">
        <w:rPr>
          <w:color w:val="212529"/>
        </w:rPr>
        <w:t>”</w:t>
      </w:r>
      <w:r w:rsidR="005F6378" w:rsidRPr="005A18FB">
        <w:rPr>
          <w:rStyle w:val="FootnoteReference"/>
          <w:color w:val="212529"/>
        </w:rPr>
        <w:footnoteReference w:id="4"/>
      </w:r>
      <w:r w:rsidR="00CA2F08" w:rsidRPr="005A18FB">
        <w:rPr>
          <w:color w:val="212529"/>
        </w:rPr>
        <w:t xml:space="preserve"> </w:t>
      </w:r>
      <w:r w:rsidR="003F5AAC">
        <w:rPr>
          <w:color w:val="212529"/>
        </w:rPr>
        <w:t>Finally, i</w:t>
      </w:r>
      <w:r w:rsidR="00CA2F08" w:rsidRPr="005A18FB">
        <w:rPr>
          <w:color w:val="212529"/>
        </w:rPr>
        <w:t>nclusivism attempts to bridge the gap between the two by claiming that only one religion is actually true, but that believers in other religions are actually included in that one religion and so are either followers of the religion without knowing it or at least receive the benefits of that one religion unbeknownst to them.</w:t>
      </w:r>
      <w:r w:rsidR="005F6378" w:rsidRPr="005A18FB">
        <w:rPr>
          <w:rStyle w:val="FootnoteReference"/>
          <w:color w:val="212529"/>
        </w:rPr>
        <w:footnoteReference w:id="5"/>
      </w:r>
    </w:p>
    <w:p w14:paraId="520CF9FD" w14:textId="6032E91E" w:rsidR="008C79BA" w:rsidRPr="005A18FB" w:rsidRDefault="008C79BA" w:rsidP="00CA2F08">
      <w:pPr>
        <w:pStyle w:val="NormalWeb"/>
        <w:shd w:val="clear" w:color="auto" w:fill="FFFFFF"/>
        <w:spacing w:before="0" w:beforeAutospacing="0"/>
        <w:rPr>
          <w:b/>
          <w:bCs/>
          <w:color w:val="212529"/>
        </w:rPr>
      </w:pPr>
      <w:r w:rsidRPr="005A18FB">
        <w:rPr>
          <w:b/>
          <w:bCs/>
          <w:color w:val="212529"/>
        </w:rPr>
        <w:t>If Christianity is true, are other religions also true?</w:t>
      </w:r>
    </w:p>
    <w:p w14:paraId="05C4D5C8" w14:textId="7A228600" w:rsidR="00CA2F08" w:rsidRPr="005A18FB" w:rsidRDefault="008C79BA" w:rsidP="00CA2F08">
      <w:pPr>
        <w:pStyle w:val="NormalWeb"/>
        <w:shd w:val="clear" w:color="auto" w:fill="FFFFFF"/>
        <w:spacing w:before="0" w:beforeAutospacing="0"/>
        <w:rPr>
          <w:color w:val="212529"/>
        </w:rPr>
      </w:pPr>
      <w:r w:rsidRPr="005A18FB">
        <w:rPr>
          <w:color w:val="212529"/>
        </w:rPr>
        <w:t>The answer is a definite no. First and foremost, m</w:t>
      </w:r>
      <w:r w:rsidR="00646DB4" w:rsidRPr="005A18FB">
        <w:rPr>
          <w:color w:val="212529"/>
        </w:rPr>
        <w:t xml:space="preserve">any scholars concur that all religions are exclusive. </w:t>
      </w:r>
      <w:r w:rsidRPr="005A18FB">
        <w:rPr>
          <w:color w:val="212529"/>
        </w:rPr>
        <w:t>Corduan observes, “Regardless of how inclusive or tolerant any tradition may present itself, its believers still think that their religion is, if not the only true one, at least the best one.</w:t>
      </w:r>
      <w:r w:rsidRPr="005A18FB">
        <w:rPr>
          <w:rStyle w:val="FootnoteReference"/>
          <w:color w:val="212529"/>
        </w:rPr>
        <w:footnoteReference w:id="6"/>
      </w:r>
      <w:r w:rsidRPr="005A18FB">
        <w:rPr>
          <w:color w:val="212529"/>
        </w:rPr>
        <w:t xml:space="preserve"> Thus, if we are saying Christianity is true then it means all other religions are false. According to the law of non-contradiction broadly discussed by Norman Geisler and Frank Turek, two opposing claims can’t be true at the same time.</w:t>
      </w:r>
      <w:r w:rsidRPr="005A18FB">
        <w:rPr>
          <w:rStyle w:val="FootnoteReference"/>
          <w:color w:val="212529"/>
        </w:rPr>
        <w:footnoteReference w:id="7"/>
      </w:r>
      <w:r w:rsidRPr="005A18FB">
        <w:rPr>
          <w:color w:val="212529"/>
        </w:rPr>
        <w:t xml:space="preserve"> For instance, at the basic foundational level, Christianity claims Jesus is God. </w:t>
      </w:r>
      <w:r w:rsidR="008B387A" w:rsidRPr="005A18FB">
        <w:rPr>
          <w:color w:val="212529"/>
        </w:rPr>
        <w:t xml:space="preserve">He is the way the truth and the life. No one comes to the Father except through him (John 14:6, NIV). </w:t>
      </w:r>
      <w:r w:rsidRPr="005A18FB">
        <w:rPr>
          <w:color w:val="212529"/>
        </w:rPr>
        <w:t xml:space="preserve">Islam on the other hand claims Jesus is not God. Now, two of these claims cannot be true at the same time. Either Christianity is true and Islam false or </w:t>
      </w:r>
      <w:r w:rsidR="005A18FB" w:rsidRPr="005A18FB">
        <w:rPr>
          <w:color w:val="212529"/>
        </w:rPr>
        <w:t>vice versa.</w:t>
      </w:r>
    </w:p>
    <w:p w14:paraId="79ED15A1" w14:textId="02BC432F" w:rsidR="008B387A" w:rsidRPr="005A18FB" w:rsidRDefault="008B387A" w:rsidP="00CA2F08">
      <w:pPr>
        <w:pStyle w:val="NormalWeb"/>
        <w:shd w:val="clear" w:color="auto" w:fill="FFFFFF"/>
        <w:spacing w:before="0" w:beforeAutospacing="0"/>
        <w:rPr>
          <w:b/>
          <w:bCs/>
          <w:color w:val="212529"/>
        </w:rPr>
      </w:pPr>
      <w:r w:rsidRPr="005A18FB">
        <w:rPr>
          <w:b/>
          <w:bCs/>
          <w:color w:val="212529"/>
        </w:rPr>
        <w:t>Do other religions contain truths?</w:t>
      </w:r>
    </w:p>
    <w:p w14:paraId="6764797D" w14:textId="1BD43C33" w:rsidR="008C79BA" w:rsidRPr="005A18FB" w:rsidRDefault="008C79BA" w:rsidP="00CA2F08">
      <w:pPr>
        <w:pStyle w:val="NormalWeb"/>
        <w:shd w:val="clear" w:color="auto" w:fill="FFFFFF"/>
        <w:spacing w:before="0" w:beforeAutospacing="0"/>
        <w:rPr>
          <w:color w:val="212529"/>
        </w:rPr>
      </w:pPr>
      <w:r w:rsidRPr="005A18FB">
        <w:rPr>
          <w:color w:val="212529"/>
        </w:rPr>
        <w:lastRenderedPageBreak/>
        <w:t>That said, other religions contain some truth.</w:t>
      </w:r>
      <w:r w:rsidR="008B387A" w:rsidRPr="005A18FB">
        <w:rPr>
          <w:color w:val="212529"/>
        </w:rPr>
        <w:t xml:space="preserve"> For example, the Muslims encourage zakat which basically </w:t>
      </w:r>
      <w:r w:rsidR="00A3581C" w:rsidRPr="005A18FB">
        <w:rPr>
          <w:color w:val="212529"/>
        </w:rPr>
        <w:t>stands for charity</w:t>
      </w:r>
      <w:r w:rsidR="008B387A" w:rsidRPr="005A18FB">
        <w:rPr>
          <w:color w:val="212529"/>
        </w:rPr>
        <w:t>.</w:t>
      </w:r>
      <w:r w:rsidR="00A3581C" w:rsidRPr="005A18FB">
        <w:rPr>
          <w:color w:val="212529"/>
        </w:rPr>
        <w:t xml:space="preserve"> Giving to the poor is taken as a form of worship.</w:t>
      </w:r>
      <w:r w:rsidR="008B387A" w:rsidRPr="005A18FB">
        <w:rPr>
          <w:color w:val="212529"/>
        </w:rPr>
        <w:t xml:space="preserve"> However, as Corduan asserts, containing truths does not mean that the entire set of beliefs is true.</w:t>
      </w:r>
      <w:r w:rsidR="008B387A" w:rsidRPr="005A18FB">
        <w:rPr>
          <w:rStyle w:val="FootnoteReference"/>
          <w:color w:val="212529"/>
        </w:rPr>
        <w:footnoteReference w:id="8"/>
      </w:r>
      <w:r w:rsidR="008B387A" w:rsidRPr="005A18FB">
        <w:rPr>
          <w:color w:val="212529"/>
        </w:rPr>
        <w:t xml:space="preserve"> </w:t>
      </w:r>
    </w:p>
    <w:p w14:paraId="381638FC" w14:textId="5CF2AC2B" w:rsidR="00A3581C" w:rsidRPr="005A18FB" w:rsidRDefault="00A3581C" w:rsidP="00CA2F08">
      <w:pPr>
        <w:pStyle w:val="NormalWeb"/>
        <w:shd w:val="clear" w:color="auto" w:fill="FFFFFF"/>
        <w:spacing w:before="0" w:beforeAutospacing="0"/>
        <w:rPr>
          <w:b/>
          <w:bCs/>
          <w:color w:val="212529"/>
        </w:rPr>
      </w:pPr>
      <w:r w:rsidRPr="005A18FB">
        <w:rPr>
          <w:b/>
          <w:bCs/>
          <w:color w:val="212529"/>
        </w:rPr>
        <w:t>Do other religions contribute to salvation?</w:t>
      </w:r>
    </w:p>
    <w:p w14:paraId="64C3D2B3" w14:textId="45105F4D" w:rsidR="00A3581C" w:rsidRPr="005A18FB" w:rsidRDefault="005A18FB" w:rsidP="00CA2F08">
      <w:pPr>
        <w:pStyle w:val="NormalWeb"/>
        <w:shd w:val="clear" w:color="auto" w:fill="FFFFFF"/>
        <w:spacing w:before="0" w:beforeAutospacing="0"/>
        <w:rPr>
          <w:color w:val="212529"/>
        </w:rPr>
      </w:pPr>
      <w:r w:rsidRPr="005A18FB">
        <w:rPr>
          <w:color w:val="212529"/>
        </w:rPr>
        <w:t xml:space="preserve">Depending on how we define the word “contribution,” </w:t>
      </w:r>
      <w:r>
        <w:rPr>
          <w:color w:val="212529"/>
        </w:rPr>
        <w:t>religions may or may not contribute to salvation. R</w:t>
      </w:r>
      <w:r w:rsidR="005E1F25" w:rsidRPr="005A18FB">
        <w:rPr>
          <w:color w:val="212529"/>
        </w:rPr>
        <w:t xml:space="preserve">eligions </w:t>
      </w:r>
      <w:r w:rsidR="00A3581C" w:rsidRPr="005A18FB">
        <w:rPr>
          <w:color w:val="212529"/>
        </w:rPr>
        <w:t>do not contribute to salvatio</w:t>
      </w:r>
      <w:r>
        <w:rPr>
          <w:color w:val="212529"/>
        </w:rPr>
        <w:t>n in the sense that s</w:t>
      </w:r>
      <w:r w:rsidR="00A3581C" w:rsidRPr="005A18FB">
        <w:rPr>
          <w:color w:val="212529"/>
        </w:rPr>
        <w:t xml:space="preserve">alvation is </w:t>
      </w:r>
      <w:r w:rsidRPr="005A18FB">
        <w:rPr>
          <w:color w:val="212529"/>
        </w:rPr>
        <w:t xml:space="preserve">solely </w:t>
      </w:r>
      <w:r w:rsidR="00A3581C" w:rsidRPr="005A18FB">
        <w:rPr>
          <w:color w:val="212529"/>
        </w:rPr>
        <w:t>based</w:t>
      </w:r>
      <w:r w:rsidR="00467035" w:rsidRPr="005A18FB">
        <w:rPr>
          <w:color w:val="212529"/>
        </w:rPr>
        <w:t xml:space="preserve"> on</w:t>
      </w:r>
      <w:r w:rsidR="00A3581C" w:rsidRPr="005A18FB">
        <w:rPr>
          <w:color w:val="212529"/>
        </w:rPr>
        <w:t xml:space="preserve"> grace through faith in Ch</w:t>
      </w:r>
      <w:r w:rsidR="00467035" w:rsidRPr="005A18FB">
        <w:rPr>
          <w:color w:val="212529"/>
        </w:rPr>
        <w:t>r</w:t>
      </w:r>
      <w:r w:rsidR="00A3581C" w:rsidRPr="005A18FB">
        <w:rPr>
          <w:color w:val="212529"/>
        </w:rPr>
        <w:t>ist</w:t>
      </w:r>
      <w:r w:rsidR="005E1F25" w:rsidRPr="005A18FB">
        <w:rPr>
          <w:color w:val="212529"/>
        </w:rPr>
        <w:t>. Ephesians 2:8-9 says, “</w:t>
      </w:r>
      <w:r w:rsidR="005E1F25" w:rsidRPr="005A18FB">
        <w:rPr>
          <w:rStyle w:val="text"/>
          <w:color w:val="000000"/>
          <w:shd w:val="clear" w:color="auto" w:fill="FFFFFF"/>
        </w:rPr>
        <w:t>For it is by grace you have been saved, through faith—and this is not from yourselves, it is the gift of God</w:t>
      </w:r>
      <w:r w:rsidRPr="005A18FB">
        <w:rPr>
          <w:rStyle w:val="text"/>
          <w:color w:val="000000"/>
          <w:shd w:val="clear" w:color="auto" w:fill="FFFFFF"/>
        </w:rPr>
        <w:t>—</w:t>
      </w:r>
      <w:r w:rsidRPr="005A18FB">
        <w:rPr>
          <w:color w:val="000000"/>
          <w:shd w:val="clear" w:color="auto" w:fill="FFFFFF"/>
        </w:rPr>
        <w:t xml:space="preserve"> not</w:t>
      </w:r>
      <w:r w:rsidR="005E1F25" w:rsidRPr="005A18FB">
        <w:rPr>
          <w:rStyle w:val="text"/>
          <w:color w:val="000000"/>
          <w:shd w:val="clear" w:color="auto" w:fill="FFFFFF"/>
        </w:rPr>
        <w:t xml:space="preserve"> by works, so that no one can boast.” </w:t>
      </w:r>
      <w:r w:rsidR="005E1F25" w:rsidRPr="005A18FB">
        <w:rPr>
          <w:color w:val="212529"/>
        </w:rPr>
        <w:t xml:space="preserve">When salvation becomes something that we have to contribute to then it fails </w:t>
      </w:r>
      <w:r w:rsidR="00C4764B">
        <w:rPr>
          <w:color w:val="212529"/>
        </w:rPr>
        <w:t xml:space="preserve">to meet </w:t>
      </w:r>
      <w:r w:rsidR="005E1F25" w:rsidRPr="005A18FB">
        <w:rPr>
          <w:color w:val="212529"/>
        </w:rPr>
        <w:t>the threshold of God’s desi</w:t>
      </w:r>
      <w:r w:rsidRPr="005A18FB">
        <w:rPr>
          <w:color w:val="212529"/>
        </w:rPr>
        <w:t>gn</w:t>
      </w:r>
      <w:r w:rsidR="005E1F25" w:rsidRPr="005A18FB">
        <w:rPr>
          <w:color w:val="212529"/>
        </w:rPr>
        <w:t xml:space="preserve">. One thing that separates Christianity from other religions is that salvation is based on what Christ </w:t>
      </w:r>
      <w:r w:rsidRPr="005A18FB">
        <w:rPr>
          <w:color w:val="212529"/>
        </w:rPr>
        <w:t>did and not on what we do. O</w:t>
      </w:r>
      <w:r w:rsidR="005E1F25" w:rsidRPr="005A18FB">
        <w:rPr>
          <w:color w:val="212529"/>
        </w:rPr>
        <w:t xml:space="preserve">ther religions </w:t>
      </w:r>
      <w:r w:rsidRPr="005A18FB">
        <w:rPr>
          <w:color w:val="212529"/>
        </w:rPr>
        <w:t>are exactly the opposite.</w:t>
      </w:r>
      <w:r w:rsidR="00C4764B">
        <w:rPr>
          <w:color w:val="212529"/>
        </w:rPr>
        <w:t xml:space="preserve"> According to Winfried Corduan, religions can indirectly contribute to salvation. </w:t>
      </w:r>
      <w:r w:rsidR="0037369E">
        <w:rPr>
          <w:color w:val="212529"/>
        </w:rPr>
        <w:t>He</w:t>
      </w:r>
      <w:r w:rsidR="00C4764B">
        <w:rPr>
          <w:color w:val="212529"/>
        </w:rPr>
        <w:t xml:space="preserve"> notes, “</w:t>
      </w:r>
      <w:r w:rsidR="00C4764B" w:rsidRPr="00C4764B">
        <w:rPr>
          <w:color w:val="212529"/>
        </w:rPr>
        <w:t>Just as the apostle Paul stated that the purpose of the Old Testament law was to show up our sinfulness so that we will come to Christ, we can say that other religions</w:t>
      </w:r>
      <w:r w:rsidR="0037369E">
        <w:rPr>
          <w:color w:val="212529"/>
        </w:rPr>
        <w:t xml:space="preserve"> </w:t>
      </w:r>
      <w:r w:rsidR="0037369E" w:rsidRPr="0037369E">
        <w:rPr>
          <w:color w:val="212529"/>
        </w:rPr>
        <w:t>(just as Christianity without personal faith) demonstrate the futility of attempting to live life without the true God</w:t>
      </w:r>
      <w:r w:rsidR="00C4764B">
        <w:rPr>
          <w:color w:val="212529"/>
        </w:rPr>
        <w:t>.”</w:t>
      </w:r>
      <w:r w:rsidR="00C4764B" w:rsidRPr="00C4764B">
        <w:rPr>
          <w:color w:val="212529"/>
        </w:rPr>
        <w:t xml:space="preserve"> </w:t>
      </w:r>
      <w:r w:rsidR="00C4764B">
        <w:rPr>
          <w:rStyle w:val="FootnoteReference"/>
          <w:color w:val="212529"/>
        </w:rPr>
        <w:footnoteReference w:id="9"/>
      </w:r>
    </w:p>
    <w:p w14:paraId="17402DCC" w14:textId="57768493" w:rsidR="00C4764B" w:rsidRPr="00C4764B" w:rsidRDefault="00CA2F08" w:rsidP="00C4764B">
      <w:pPr>
        <w:pStyle w:val="NormalWeb"/>
        <w:shd w:val="clear" w:color="auto" w:fill="FFFFFF"/>
        <w:spacing w:before="0" w:beforeAutospacing="0"/>
        <w:rPr>
          <w:b/>
          <w:bCs/>
          <w:color w:val="212529"/>
        </w:rPr>
      </w:pPr>
      <w:r w:rsidRPr="005A18FB">
        <w:rPr>
          <w:b/>
          <w:bCs/>
          <w:color w:val="212529"/>
        </w:rPr>
        <w:t>Bibliography</w:t>
      </w:r>
    </w:p>
    <w:p w14:paraId="1429A76E" w14:textId="77777777" w:rsidR="00C4764B" w:rsidRPr="005A18FB" w:rsidRDefault="00C4764B" w:rsidP="00C4764B">
      <w:pPr>
        <w:shd w:val="clear" w:color="auto" w:fill="FFFFFF"/>
        <w:spacing w:before="100" w:beforeAutospacing="1" w:after="24" w:line="240" w:lineRule="auto"/>
        <w:ind w:left="720" w:hanging="720"/>
        <w:rPr>
          <w:rFonts w:ascii="Times New Roman" w:hAnsi="Times New Roman" w:cs="Times New Roman"/>
          <w:sz w:val="24"/>
          <w:szCs w:val="24"/>
          <w:shd w:val="clear" w:color="auto" w:fill="FCFCFC"/>
        </w:rPr>
      </w:pPr>
      <w:r w:rsidRPr="005A18FB">
        <w:rPr>
          <w:rFonts w:ascii="Times New Roman" w:hAnsi="Times New Roman" w:cs="Times New Roman"/>
          <w:sz w:val="24"/>
          <w:szCs w:val="24"/>
          <w:shd w:val="clear" w:color="auto" w:fill="FCFCFC"/>
        </w:rPr>
        <w:t xml:space="preserve">Chaturvedi, V. </w:t>
      </w:r>
      <w:r w:rsidRPr="005A18FB">
        <w:rPr>
          <w:rFonts w:ascii="Times New Roman" w:hAnsi="Times New Roman" w:cs="Times New Roman"/>
          <w:i/>
          <w:iCs/>
          <w:sz w:val="24"/>
          <w:szCs w:val="24"/>
          <w:shd w:val="clear" w:color="auto" w:fill="FCFCFC"/>
        </w:rPr>
        <w:t>Philosophical Implications of Religious Pluralism</w:t>
      </w:r>
      <w:r w:rsidRPr="005A18FB">
        <w:rPr>
          <w:rFonts w:ascii="Times New Roman" w:hAnsi="Times New Roman" w:cs="Times New Roman"/>
          <w:sz w:val="24"/>
          <w:szCs w:val="24"/>
          <w:shd w:val="clear" w:color="auto" w:fill="FCFCFC"/>
        </w:rPr>
        <w:t>. </w:t>
      </w:r>
      <w:r w:rsidRPr="005A18FB">
        <w:rPr>
          <w:rFonts w:ascii="Times New Roman" w:hAnsi="Times New Roman" w:cs="Times New Roman"/>
          <w:i/>
          <w:iCs/>
          <w:sz w:val="24"/>
          <w:szCs w:val="24"/>
          <w:shd w:val="clear" w:color="auto" w:fill="FCFCFC"/>
        </w:rPr>
        <w:t>J. Indian Counc. Philos. Res.</w:t>
      </w:r>
      <w:r w:rsidRPr="005A18FB">
        <w:rPr>
          <w:rFonts w:ascii="Times New Roman" w:hAnsi="Times New Roman" w:cs="Times New Roman"/>
          <w:sz w:val="24"/>
          <w:szCs w:val="24"/>
          <w:shd w:val="clear" w:color="auto" w:fill="FCFCFC"/>
        </w:rPr>
        <w:t> </w:t>
      </w:r>
      <w:r w:rsidRPr="005A18FB">
        <w:rPr>
          <w:rFonts w:ascii="Times New Roman" w:hAnsi="Times New Roman" w:cs="Times New Roman"/>
          <w:b/>
          <w:bCs/>
          <w:sz w:val="24"/>
          <w:szCs w:val="24"/>
          <w:shd w:val="clear" w:color="auto" w:fill="FCFCFC"/>
        </w:rPr>
        <w:t>33, </w:t>
      </w:r>
      <w:r w:rsidRPr="005A18FB">
        <w:rPr>
          <w:rFonts w:ascii="Times New Roman" w:hAnsi="Times New Roman" w:cs="Times New Roman"/>
          <w:sz w:val="24"/>
          <w:szCs w:val="24"/>
          <w:shd w:val="clear" w:color="auto" w:fill="FCFCFC"/>
        </w:rPr>
        <w:t xml:space="preserve">43–59, 2016. </w:t>
      </w:r>
    </w:p>
    <w:p w14:paraId="1D08E2E8" w14:textId="77777777" w:rsidR="00C4764B" w:rsidRPr="005A18FB" w:rsidRDefault="00C4764B" w:rsidP="00D579D1">
      <w:pPr>
        <w:pStyle w:val="NormalWeb"/>
        <w:shd w:val="clear" w:color="auto" w:fill="FFFFFF"/>
        <w:spacing w:before="0" w:beforeAutospacing="0"/>
        <w:ind w:left="720" w:hanging="720"/>
        <w:rPr>
          <w:color w:val="212529"/>
        </w:rPr>
      </w:pPr>
      <w:r w:rsidRPr="005A18FB">
        <w:rPr>
          <w:color w:val="212529"/>
        </w:rPr>
        <w:t>Corduan, Winfried. </w:t>
      </w:r>
      <w:r w:rsidRPr="005A18FB">
        <w:rPr>
          <w:rStyle w:val="Emphasis"/>
          <w:color w:val="212529"/>
        </w:rPr>
        <w:t>Neighboring Faiths: A Christian Introduction to World Religions</w:t>
      </w:r>
      <w:r w:rsidRPr="005A18FB">
        <w:rPr>
          <w:color w:val="212529"/>
        </w:rPr>
        <w:t>. 2nd ed. Downers Grove: InterVarsity Press, 2012.</w:t>
      </w:r>
    </w:p>
    <w:p w14:paraId="78F59DBE" w14:textId="77777777" w:rsidR="00C4764B" w:rsidRPr="005A18FB" w:rsidRDefault="00C4764B" w:rsidP="00D579D1">
      <w:pPr>
        <w:ind w:left="720" w:hanging="720"/>
        <w:rPr>
          <w:rFonts w:ascii="Times New Roman" w:hAnsi="Times New Roman" w:cs="Times New Roman"/>
          <w:sz w:val="24"/>
          <w:szCs w:val="24"/>
        </w:rPr>
      </w:pPr>
      <w:r w:rsidRPr="005A18FB">
        <w:rPr>
          <w:rFonts w:ascii="Times New Roman" w:hAnsi="Times New Roman" w:cs="Times New Roman"/>
          <w:sz w:val="24"/>
          <w:szCs w:val="24"/>
        </w:rPr>
        <w:t xml:space="preserve">Geisler, Norman &amp; Frank Turek, </w:t>
      </w:r>
      <w:r w:rsidRPr="005A18FB">
        <w:rPr>
          <w:rFonts w:ascii="Times New Roman" w:hAnsi="Times New Roman" w:cs="Times New Roman"/>
          <w:i/>
          <w:iCs/>
          <w:sz w:val="24"/>
          <w:szCs w:val="24"/>
        </w:rPr>
        <w:t>I Don’t Have Enough Faith to Be an Atheist</w:t>
      </w:r>
      <w:r w:rsidRPr="005A18FB">
        <w:rPr>
          <w:rFonts w:ascii="Times New Roman" w:hAnsi="Times New Roman" w:cs="Times New Roman"/>
          <w:sz w:val="24"/>
          <w:szCs w:val="24"/>
        </w:rPr>
        <w:t>. Wheaton: Crossway Books, 2014.</w:t>
      </w:r>
    </w:p>
    <w:p w14:paraId="01B17C76" w14:textId="77777777" w:rsidR="00C4764B" w:rsidRPr="005A18FB" w:rsidRDefault="00C4764B" w:rsidP="00D579D1">
      <w:pPr>
        <w:pStyle w:val="NormalWeb"/>
        <w:shd w:val="clear" w:color="auto" w:fill="FFFFFF"/>
        <w:spacing w:before="0" w:beforeAutospacing="0"/>
        <w:ind w:left="720" w:hanging="720"/>
        <w:rPr>
          <w:color w:val="212529"/>
        </w:rPr>
      </w:pPr>
      <w:r w:rsidRPr="005A18FB">
        <w:rPr>
          <w:color w:val="212529"/>
        </w:rPr>
        <w:t>Miles, Todd. </w:t>
      </w:r>
      <w:r w:rsidRPr="005A18FB">
        <w:rPr>
          <w:rStyle w:val="Emphasis"/>
          <w:color w:val="212529"/>
        </w:rPr>
        <w:t>A God of Many Understandings?</w:t>
      </w:r>
      <w:r w:rsidRPr="005A18FB">
        <w:rPr>
          <w:color w:val="212529"/>
        </w:rPr>
        <w:t xml:space="preserve"> Nashville: Broadman and Holman Publishing House, 2010. </w:t>
      </w:r>
    </w:p>
    <w:p w14:paraId="110066DA" w14:textId="77777777" w:rsidR="00C4764B" w:rsidRPr="005A18FB" w:rsidRDefault="00C4764B" w:rsidP="00D579D1">
      <w:pPr>
        <w:pStyle w:val="NormalWeb"/>
        <w:shd w:val="clear" w:color="auto" w:fill="FFFFFF"/>
        <w:spacing w:before="0" w:beforeAutospacing="0"/>
        <w:ind w:left="720" w:hanging="720"/>
        <w:rPr>
          <w:color w:val="212529"/>
        </w:rPr>
      </w:pPr>
      <w:r w:rsidRPr="005A18FB">
        <w:rPr>
          <w:color w:val="212529"/>
        </w:rPr>
        <w:t>Netland, Harold A. </w:t>
      </w:r>
      <w:r w:rsidRPr="005A18FB">
        <w:rPr>
          <w:rStyle w:val="Emphasis"/>
          <w:color w:val="212529"/>
        </w:rPr>
        <w:t>Christianity &amp; Religious Diversity: Clarifying Christian Commitments in a Globalizing Age</w:t>
      </w:r>
      <w:r w:rsidRPr="005A18FB">
        <w:rPr>
          <w:color w:val="212529"/>
        </w:rPr>
        <w:t xml:space="preserve">. Grand Rapids: Baker Academic, 2015. </w:t>
      </w:r>
    </w:p>
    <w:sectPr w:rsidR="00C4764B" w:rsidRPr="005A18F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27D60D" w14:textId="77777777" w:rsidR="00446401" w:rsidRDefault="00446401" w:rsidP="0080528B">
      <w:pPr>
        <w:spacing w:after="0" w:line="240" w:lineRule="auto"/>
      </w:pPr>
      <w:r>
        <w:separator/>
      </w:r>
    </w:p>
  </w:endnote>
  <w:endnote w:type="continuationSeparator" w:id="0">
    <w:p w14:paraId="4706E85F" w14:textId="77777777" w:rsidR="00446401" w:rsidRDefault="00446401" w:rsidP="008052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BA9016" w14:textId="77777777" w:rsidR="00446401" w:rsidRDefault="00446401" w:rsidP="0080528B">
      <w:pPr>
        <w:spacing w:after="0" w:line="240" w:lineRule="auto"/>
      </w:pPr>
      <w:r>
        <w:separator/>
      </w:r>
    </w:p>
  </w:footnote>
  <w:footnote w:type="continuationSeparator" w:id="0">
    <w:p w14:paraId="30811079" w14:textId="77777777" w:rsidR="00446401" w:rsidRDefault="00446401" w:rsidP="0080528B">
      <w:pPr>
        <w:spacing w:after="0" w:line="240" w:lineRule="auto"/>
      </w:pPr>
      <w:r>
        <w:continuationSeparator/>
      </w:r>
    </w:p>
  </w:footnote>
  <w:footnote w:id="1">
    <w:p w14:paraId="655FDFAB" w14:textId="4961556F" w:rsidR="0080528B" w:rsidRPr="00D579D1" w:rsidRDefault="0080528B" w:rsidP="00D579D1">
      <w:pPr>
        <w:pStyle w:val="NormalWeb"/>
        <w:shd w:val="clear" w:color="auto" w:fill="FFFFFF"/>
        <w:spacing w:before="240" w:beforeAutospacing="0" w:after="0" w:afterAutospacing="0"/>
        <w:ind w:firstLine="720"/>
        <w:rPr>
          <w:color w:val="212529"/>
          <w:sz w:val="20"/>
          <w:szCs w:val="20"/>
        </w:rPr>
      </w:pPr>
      <w:r>
        <w:rPr>
          <w:rStyle w:val="FootnoteReference"/>
        </w:rPr>
        <w:footnoteRef/>
      </w:r>
      <w:r>
        <w:t xml:space="preserve"> </w:t>
      </w:r>
      <w:r w:rsidRPr="00D579D1">
        <w:rPr>
          <w:color w:val="212529"/>
          <w:sz w:val="20"/>
          <w:szCs w:val="20"/>
        </w:rPr>
        <w:t>Winfried Corduan, </w:t>
      </w:r>
      <w:r w:rsidRPr="00D579D1">
        <w:rPr>
          <w:rStyle w:val="Emphasis"/>
          <w:color w:val="212529"/>
          <w:sz w:val="20"/>
          <w:szCs w:val="20"/>
        </w:rPr>
        <w:t>Neighboring Faiths: A Christian Introduction to World Religions</w:t>
      </w:r>
      <w:r w:rsidRPr="00D579D1">
        <w:rPr>
          <w:color w:val="212529"/>
          <w:sz w:val="20"/>
          <w:szCs w:val="20"/>
        </w:rPr>
        <w:t>. 2nd ed. (Downers Grove: InterVarsity Press, 2012), 54.</w:t>
      </w:r>
    </w:p>
  </w:footnote>
  <w:footnote w:id="2">
    <w:p w14:paraId="32F01F6C" w14:textId="3BDA13C5" w:rsidR="008C79BA" w:rsidRPr="00D579D1" w:rsidRDefault="008C79BA" w:rsidP="00D579D1">
      <w:pPr>
        <w:pStyle w:val="FootnoteText"/>
        <w:spacing w:before="240"/>
        <w:ind w:firstLine="720"/>
        <w:rPr>
          <w:rFonts w:ascii="Times New Roman" w:hAnsi="Times New Roman" w:cs="Times New Roman"/>
        </w:rPr>
      </w:pPr>
      <w:r w:rsidRPr="00D579D1">
        <w:rPr>
          <w:rStyle w:val="FootnoteReference"/>
          <w:rFonts w:ascii="Times New Roman" w:hAnsi="Times New Roman" w:cs="Times New Roman"/>
        </w:rPr>
        <w:footnoteRef/>
      </w:r>
      <w:r w:rsidRPr="00D579D1">
        <w:rPr>
          <w:rFonts w:ascii="Times New Roman" w:hAnsi="Times New Roman" w:cs="Times New Roman"/>
        </w:rPr>
        <w:t xml:space="preserve"> Vinayak </w:t>
      </w:r>
      <w:r w:rsidRPr="00D579D1">
        <w:rPr>
          <w:rFonts w:ascii="Times New Roman" w:hAnsi="Times New Roman" w:cs="Times New Roman"/>
          <w:color w:val="333333"/>
          <w:shd w:val="clear" w:color="auto" w:fill="FCFCFC"/>
        </w:rPr>
        <w:t>Chaturvedi, “Philosophical Implications of Religious Pluralism.” (2006), 43.</w:t>
      </w:r>
    </w:p>
  </w:footnote>
  <w:footnote w:id="3">
    <w:p w14:paraId="421453F4" w14:textId="4C19D3AA" w:rsidR="0080528B" w:rsidRPr="00D579D1" w:rsidRDefault="0080528B" w:rsidP="00D579D1">
      <w:pPr>
        <w:pStyle w:val="NormalWeb"/>
        <w:shd w:val="clear" w:color="auto" w:fill="FFFFFF"/>
        <w:spacing w:before="240" w:beforeAutospacing="0" w:after="0" w:afterAutospacing="0"/>
        <w:ind w:firstLine="720"/>
        <w:rPr>
          <w:color w:val="212529"/>
          <w:sz w:val="20"/>
          <w:szCs w:val="20"/>
        </w:rPr>
      </w:pPr>
      <w:r w:rsidRPr="00D579D1">
        <w:rPr>
          <w:rStyle w:val="FootnoteReference"/>
          <w:sz w:val="20"/>
          <w:szCs w:val="20"/>
        </w:rPr>
        <w:footnoteRef/>
      </w:r>
      <w:r w:rsidRPr="00D579D1">
        <w:rPr>
          <w:sz w:val="20"/>
          <w:szCs w:val="20"/>
        </w:rPr>
        <w:t xml:space="preserve"> </w:t>
      </w:r>
      <w:r w:rsidRPr="00D579D1">
        <w:rPr>
          <w:color w:val="212529"/>
          <w:sz w:val="20"/>
          <w:szCs w:val="20"/>
        </w:rPr>
        <w:t xml:space="preserve">Todd Miles, </w:t>
      </w:r>
      <w:r w:rsidR="005F6378" w:rsidRPr="00D579D1">
        <w:rPr>
          <w:color w:val="212529"/>
          <w:sz w:val="20"/>
          <w:szCs w:val="20"/>
        </w:rPr>
        <w:t xml:space="preserve">“Chapter One” In </w:t>
      </w:r>
      <w:r w:rsidRPr="00D579D1">
        <w:rPr>
          <w:rStyle w:val="Emphasis"/>
          <w:color w:val="212529"/>
          <w:sz w:val="20"/>
          <w:szCs w:val="20"/>
        </w:rPr>
        <w:t>A God of Many Understandings?</w:t>
      </w:r>
      <w:r w:rsidRPr="00D579D1">
        <w:rPr>
          <w:color w:val="212529"/>
          <w:sz w:val="20"/>
          <w:szCs w:val="20"/>
        </w:rPr>
        <w:t> (Nashville: Broadman and Holman Publishing House, 2010)</w:t>
      </w:r>
      <w:r w:rsidR="005F6378" w:rsidRPr="00D579D1">
        <w:rPr>
          <w:color w:val="212529"/>
          <w:sz w:val="20"/>
          <w:szCs w:val="20"/>
        </w:rPr>
        <w:t>.</w:t>
      </w:r>
    </w:p>
  </w:footnote>
  <w:footnote w:id="4">
    <w:p w14:paraId="779E1032" w14:textId="59190172" w:rsidR="005F6378" w:rsidRPr="00D579D1" w:rsidRDefault="005F6378" w:rsidP="00D579D1">
      <w:pPr>
        <w:pStyle w:val="FootnoteText"/>
        <w:spacing w:before="240"/>
        <w:ind w:firstLine="720"/>
        <w:rPr>
          <w:rFonts w:ascii="Times New Roman" w:hAnsi="Times New Roman" w:cs="Times New Roman"/>
        </w:rPr>
      </w:pPr>
      <w:r w:rsidRPr="00D579D1">
        <w:rPr>
          <w:rStyle w:val="FootnoteReference"/>
          <w:rFonts w:ascii="Times New Roman" w:hAnsi="Times New Roman" w:cs="Times New Roman"/>
        </w:rPr>
        <w:footnoteRef/>
      </w:r>
      <w:r w:rsidRPr="00D579D1">
        <w:rPr>
          <w:rFonts w:ascii="Times New Roman" w:hAnsi="Times New Roman" w:cs="Times New Roman"/>
        </w:rPr>
        <w:t xml:space="preserve"> </w:t>
      </w:r>
      <w:r w:rsidRPr="00D579D1">
        <w:rPr>
          <w:rFonts w:ascii="Times New Roman" w:hAnsi="Times New Roman" w:cs="Times New Roman"/>
          <w:color w:val="212529"/>
        </w:rPr>
        <w:t>Corduan, </w:t>
      </w:r>
      <w:r w:rsidRPr="00D579D1">
        <w:rPr>
          <w:rStyle w:val="Emphasis"/>
          <w:rFonts w:ascii="Times New Roman" w:hAnsi="Times New Roman" w:cs="Times New Roman"/>
          <w:color w:val="212529"/>
        </w:rPr>
        <w:t>Neighboring Faiths, 54.</w:t>
      </w:r>
    </w:p>
  </w:footnote>
  <w:footnote w:id="5">
    <w:p w14:paraId="3F7FF3FA" w14:textId="342F2D6B" w:rsidR="005F6378" w:rsidRPr="00D579D1" w:rsidRDefault="005F6378" w:rsidP="00D579D1">
      <w:pPr>
        <w:pStyle w:val="FootnoteText"/>
        <w:spacing w:before="240"/>
        <w:ind w:firstLine="720"/>
        <w:rPr>
          <w:rFonts w:ascii="Times New Roman" w:hAnsi="Times New Roman" w:cs="Times New Roman"/>
        </w:rPr>
      </w:pPr>
      <w:r w:rsidRPr="00D579D1">
        <w:rPr>
          <w:rStyle w:val="FootnoteReference"/>
          <w:rFonts w:ascii="Times New Roman" w:hAnsi="Times New Roman" w:cs="Times New Roman"/>
        </w:rPr>
        <w:footnoteRef/>
      </w:r>
      <w:r w:rsidRPr="00D579D1">
        <w:rPr>
          <w:rStyle w:val="FootnoteReference"/>
          <w:rFonts w:ascii="Times New Roman" w:hAnsi="Times New Roman" w:cs="Times New Roman"/>
        </w:rPr>
        <w:footnoteRef/>
      </w:r>
      <w:r w:rsidRPr="00D579D1">
        <w:rPr>
          <w:rFonts w:ascii="Times New Roman" w:hAnsi="Times New Roman" w:cs="Times New Roman"/>
        </w:rPr>
        <w:t xml:space="preserve"> Ibid., 54.</w:t>
      </w:r>
    </w:p>
  </w:footnote>
  <w:footnote w:id="6">
    <w:p w14:paraId="0C4C90D3" w14:textId="15EC4696" w:rsidR="008C79BA" w:rsidRPr="00D579D1" w:rsidRDefault="008C79BA" w:rsidP="00D579D1">
      <w:pPr>
        <w:pStyle w:val="FootnoteText"/>
        <w:spacing w:before="240"/>
        <w:ind w:firstLine="720"/>
        <w:rPr>
          <w:rFonts w:ascii="Times New Roman" w:hAnsi="Times New Roman" w:cs="Times New Roman"/>
        </w:rPr>
      </w:pPr>
      <w:r w:rsidRPr="00D579D1">
        <w:rPr>
          <w:rStyle w:val="FootnoteReference"/>
          <w:rFonts w:ascii="Times New Roman" w:hAnsi="Times New Roman" w:cs="Times New Roman"/>
        </w:rPr>
        <w:footnoteRef/>
      </w:r>
      <w:r w:rsidRPr="00D579D1">
        <w:rPr>
          <w:rFonts w:ascii="Times New Roman" w:hAnsi="Times New Roman" w:cs="Times New Roman"/>
        </w:rPr>
        <w:t xml:space="preserve"> Ibid., 57.</w:t>
      </w:r>
    </w:p>
  </w:footnote>
  <w:footnote w:id="7">
    <w:p w14:paraId="39D253C1" w14:textId="591BFB59" w:rsidR="008C79BA" w:rsidRPr="00D579D1" w:rsidRDefault="008C79BA" w:rsidP="00D579D1">
      <w:pPr>
        <w:pStyle w:val="FootnoteText"/>
        <w:spacing w:before="240"/>
        <w:ind w:firstLine="720"/>
        <w:rPr>
          <w:rFonts w:ascii="Times New Roman" w:hAnsi="Times New Roman" w:cs="Times New Roman"/>
        </w:rPr>
      </w:pPr>
      <w:r w:rsidRPr="00D579D1">
        <w:rPr>
          <w:rStyle w:val="FootnoteReference"/>
          <w:rFonts w:ascii="Times New Roman" w:hAnsi="Times New Roman" w:cs="Times New Roman"/>
        </w:rPr>
        <w:footnoteRef/>
      </w:r>
      <w:r w:rsidRPr="00D579D1">
        <w:rPr>
          <w:rFonts w:ascii="Times New Roman" w:hAnsi="Times New Roman" w:cs="Times New Roman"/>
        </w:rPr>
        <w:t xml:space="preserve"> Norman Geisler &amp; Frank Turek, </w:t>
      </w:r>
      <w:r w:rsidRPr="00D579D1">
        <w:rPr>
          <w:rFonts w:ascii="Times New Roman" w:hAnsi="Times New Roman" w:cs="Times New Roman"/>
          <w:i/>
          <w:iCs/>
        </w:rPr>
        <w:t>I Don’t Have Enough Faith to Be an Atheist</w:t>
      </w:r>
      <w:r w:rsidRPr="00D579D1">
        <w:rPr>
          <w:rFonts w:ascii="Times New Roman" w:hAnsi="Times New Roman" w:cs="Times New Roman"/>
        </w:rPr>
        <w:t>. (Wheaton: Crossway Books, 2014), 23.</w:t>
      </w:r>
    </w:p>
  </w:footnote>
  <w:footnote w:id="8">
    <w:p w14:paraId="1DDDFFFE" w14:textId="42726152" w:rsidR="008B387A" w:rsidRPr="00D579D1" w:rsidRDefault="008B387A" w:rsidP="00C4764B">
      <w:pPr>
        <w:pStyle w:val="FootnoteText"/>
        <w:spacing w:before="240"/>
        <w:ind w:firstLine="720"/>
        <w:rPr>
          <w:rFonts w:ascii="Times New Roman" w:hAnsi="Times New Roman" w:cs="Times New Roman"/>
        </w:rPr>
      </w:pPr>
      <w:r w:rsidRPr="00D579D1">
        <w:rPr>
          <w:rStyle w:val="FootnoteReference"/>
          <w:rFonts w:ascii="Times New Roman" w:hAnsi="Times New Roman" w:cs="Times New Roman"/>
        </w:rPr>
        <w:footnoteRef/>
      </w:r>
      <w:r w:rsidRPr="00D579D1">
        <w:rPr>
          <w:rFonts w:ascii="Times New Roman" w:hAnsi="Times New Roman" w:cs="Times New Roman"/>
        </w:rPr>
        <w:t xml:space="preserve"> </w:t>
      </w:r>
      <w:r w:rsidRPr="00D579D1">
        <w:rPr>
          <w:rFonts w:ascii="Times New Roman" w:hAnsi="Times New Roman" w:cs="Times New Roman"/>
          <w:color w:val="212529"/>
        </w:rPr>
        <w:t>Corduan, </w:t>
      </w:r>
      <w:r w:rsidRPr="00D579D1">
        <w:rPr>
          <w:rStyle w:val="Emphasis"/>
          <w:rFonts w:ascii="Times New Roman" w:hAnsi="Times New Roman" w:cs="Times New Roman"/>
          <w:color w:val="212529"/>
        </w:rPr>
        <w:t>Neighboring Faiths,</w:t>
      </w:r>
      <w:r w:rsidRPr="00D579D1">
        <w:rPr>
          <w:rStyle w:val="Emphasis"/>
          <w:rFonts w:ascii="Times New Roman" w:hAnsi="Times New Roman" w:cs="Times New Roman"/>
          <w:i w:val="0"/>
          <w:iCs w:val="0"/>
          <w:color w:val="212529"/>
        </w:rPr>
        <w:t xml:space="preserve"> 57</w:t>
      </w:r>
      <w:r w:rsidRPr="00D579D1">
        <w:rPr>
          <w:rStyle w:val="Emphasis"/>
          <w:rFonts w:ascii="Times New Roman" w:hAnsi="Times New Roman" w:cs="Times New Roman"/>
          <w:color w:val="212529"/>
        </w:rPr>
        <w:t>.</w:t>
      </w:r>
    </w:p>
  </w:footnote>
  <w:footnote w:id="9">
    <w:p w14:paraId="1D5256C1" w14:textId="6145773F" w:rsidR="00C4764B" w:rsidRDefault="00C4764B" w:rsidP="00C4764B">
      <w:pPr>
        <w:pStyle w:val="FootnoteText"/>
        <w:spacing w:before="240"/>
        <w:ind w:firstLine="720"/>
      </w:pPr>
      <w:r>
        <w:rPr>
          <w:rStyle w:val="FootnoteReference"/>
        </w:rPr>
        <w:footnoteRef/>
      </w:r>
      <w:r>
        <w:t xml:space="preserve"> Ibid.,58.</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F08"/>
    <w:rsid w:val="00134D74"/>
    <w:rsid w:val="0037369E"/>
    <w:rsid w:val="003F5AAC"/>
    <w:rsid w:val="00446401"/>
    <w:rsid w:val="00467035"/>
    <w:rsid w:val="005A18FB"/>
    <w:rsid w:val="005E1F25"/>
    <w:rsid w:val="005F6378"/>
    <w:rsid w:val="00646DB4"/>
    <w:rsid w:val="0080528B"/>
    <w:rsid w:val="008A6D7D"/>
    <w:rsid w:val="008B387A"/>
    <w:rsid w:val="008C79BA"/>
    <w:rsid w:val="00A3581C"/>
    <w:rsid w:val="00C4764B"/>
    <w:rsid w:val="00CA2F08"/>
    <w:rsid w:val="00D579D1"/>
    <w:rsid w:val="00FA04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81A0D"/>
  <w15:chartTrackingRefBased/>
  <w15:docId w15:val="{688D8234-3771-4232-86DE-DBC837181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A2F0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A2F08"/>
    <w:rPr>
      <w:i/>
      <w:iCs/>
    </w:rPr>
  </w:style>
  <w:style w:type="paragraph" w:styleId="FootnoteText">
    <w:name w:val="footnote text"/>
    <w:basedOn w:val="Normal"/>
    <w:link w:val="FootnoteTextChar"/>
    <w:uiPriority w:val="99"/>
    <w:semiHidden/>
    <w:unhideWhenUsed/>
    <w:rsid w:val="0080528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0528B"/>
    <w:rPr>
      <w:sz w:val="20"/>
      <w:szCs w:val="20"/>
    </w:rPr>
  </w:style>
  <w:style w:type="character" w:styleId="FootnoteReference">
    <w:name w:val="footnote reference"/>
    <w:basedOn w:val="DefaultParagraphFont"/>
    <w:uiPriority w:val="99"/>
    <w:semiHidden/>
    <w:unhideWhenUsed/>
    <w:rsid w:val="0080528B"/>
    <w:rPr>
      <w:vertAlign w:val="superscript"/>
    </w:rPr>
  </w:style>
  <w:style w:type="character" w:customStyle="1" w:styleId="text">
    <w:name w:val="text"/>
    <w:basedOn w:val="DefaultParagraphFont"/>
    <w:rsid w:val="005E1F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004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C45D446A-4434-42E4-9476-A2458F9687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2</Pages>
  <Words>627</Words>
  <Characters>3576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2</cp:revision>
  <dcterms:created xsi:type="dcterms:W3CDTF">2021-06-30T21:02:00Z</dcterms:created>
  <dcterms:modified xsi:type="dcterms:W3CDTF">2021-07-01T08:21:00Z</dcterms:modified>
</cp:coreProperties>
</file>