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7D5D69" w14:textId="2DFB97B7" w:rsidR="006F1977" w:rsidRDefault="006F1977" w:rsidP="006F1977">
      <w:pPr>
        <w:pStyle w:val="NormalWeb"/>
        <w:spacing w:before="0" w:beforeAutospacing="0" w:after="0" w:afterAutospacing="0"/>
        <w:rPr>
          <w:color w:val="0E101A"/>
        </w:rPr>
      </w:pPr>
      <w:r>
        <w:rPr>
          <w:color w:val="0E101A"/>
        </w:rPr>
        <w:t xml:space="preserve">Joshua, thanks for a well-written and concise post. I enjoyed reading the similarities you highlighted between Zoroastrianism and Judaism. After reading your post, I was not sure if you mentioned any differences between the two religions. </w:t>
      </w:r>
      <w:r w:rsidR="002C4965">
        <w:rPr>
          <w:color w:val="0E101A"/>
        </w:rPr>
        <w:t>Therefore,</w:t>
      </w:r>
      <w:r>
        <w:rPr>
          <w:color w:val="0E101A"/>
        </w:rPr>
        <w:t xml:space="preserve"> I would like to highlight a few. One of the topmost differences I find between these two religions is in the</w:t>
      </w:r>
      <w:r w:rsidR="002C4965">
        <w:rPr>
          <w:color w:val="0E101A"/>
        </w:rPr>
        <w:t>ir</w:t>
      </w:r>
      <w:r>
        <w:rPr>
          <w:color w:val="0E101A"/>
        </w:rPr>
        <w:t xml:space="preserve"> holy scriptures. Jews read the Tanakh or the writings of the prophets. On the other hand, Zoroastrians read Avesta, the teachings of Zoroaster that he supposedly received from God. Secondly, the Jews' concept of God differs quite substantially from that of the Zoroastrians. Although they both claim the oneness of God, Zoroastrians claim that their God (Ahura Mazda) comprises six beings which they refer to as Seven Amesha-Spenta.</w:t>
      </w:r>
      <w:r w:rsidR="002C4965">
        <w:rPr>
          <w:rStyle w:val="FootnoteReference"/>
        </w:rPr>
        <w:footnoteReference w:id="1"/>
      </w:r>
      <w:r>
        <w:rPr>
          <w:color w:val="0E101A"/>
        </w:rPr>
        <w:t> On the contrary, Jews claim God is one. Although Genesis 1:26 alludes to the Threeness of God, throughout the Old Testament, God is one.</w:t>
      </w:r>
    </w:p>
    <w:p w14:paraId="03E0875F" w14:textId="53903AF6" w:rsidR="006F1977" w:rsidRPr="002C4965" w:rsidRDefault="006F1977" w:rsidP="002C4965">
      <w:pPr>
        <w:pStyle w:val="NormalWeb"/>
        <w:spacing w:before="0" w:beforeAutospacing="0" w:after="0" w:afterAutospacing="0"/>
        <w:rPr>
          <w:color w:val="0E101A"/>
        </w:rPr>
      </w:pPr>
      <w:r>
        <w:rPr>
          <w:color w:val="0E101A"/>
        </w:rPr>
        <w:t>That said, I agree with your assertion that finding common ground with people is the easier way to reach out to them. Winfried Corduan says, “Pointing to Jesus’ identity as the Jewish Messiah may be a helpful bridge to confirming Christ’s role as Savior.”</w:t>
      </w:r>
      <w:r w:rsidR="002C4965">
        <w:rPr>
          <w:rStyle w:val="FootnoteReference"/>
        </w:rPr>
        <w:footnoteReference w:id="2"/>
      </w:r>
    </w:p>
    <w:p w14:paraId="78A76D65" w14:textId="77777777" w:rsidR="006F1977" w:rsidRDefault="006F1977"/>
    <w:p w14:paraId="64695222" w14:textId="21AF0CF1" w:rsidR="003E3336" w:rsidRDefault="003E3336"/>
    <w:sectPr w:rsidR="003E33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A4B329" w14:textId="77777777" w:rsidR="006B7F18" w:rsidRDefault="006B7F18" w:rsidP="003E3336">
      <w:pPr>
        <w:spacing w:after="0" w:line="240" w:lineRule="auto"/>
      </w:pPr>
      <w:r>
        <w:separator/>
      </w:r>
    </w:p>
  </w:endnote>
  <w:endnote w:type="continuationSeparator" w:id="0">
    <w:p w14:paraId="1079B52F" w14:textId="77777777" w:rsidR="006B7F18" w:rsidRDefault="006B7F18" w:rsidP="003E3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D18F24" w14:textId="77777777" w:rsidR="006B7F18" w:rsidRDefault="006B7F18" w:rsidP="003E3336">
      <w:pPr>
        <w:spacing w:after="0" w:line="240" w:lineRule="auto"/>
      </w:pPr>
      <w:r>
        <w:separator/>
      </w:r>
    </w:p>
  </w:footnote>
  <w:footnote w:type="continuationSeparator" w:id="0">
    <w:p w14:paraId="29248F77" w14:textId="77777777" w:rsidR="006B7F18" w:rsidRDefault="006B7F18" w:rsidP="003E3336">
      <w:pPr>
        <w:spacing w:after="0" w:line="240" w:lineRule="auto"/>
      </w:pPr>
      <w:r>
        <w:continuationSeparator/>
      </w:r>
    </w:p>
  </w:footnote>
  <w:footnote w:id="1">
    <w:p w14:paraId="488601A3" w14:textId="77777777" w:rsidR="002C4965" w:rsidRDefault="002C4965" w:rsidP="002C4965">
      <w:pPr>
        <w:pStyle w:val="FootnoteText"/>
      </w:pPr>
      <w:r>
        <w:rPr>
          <w:rStyle w:val="FootnoteReference"/>
        </w:rPr>
        <w:footnoteRef/>
      </w:r>
      <w:r>
        <w:t xml:space="preserve"> </w:t>
      </w:r>
      <w:r w:rsidRPr="00082814">
        <w:rPr>
          <w:rFonts w:ascii="Times New Roman" w:hAnsi="Times New Roman" w:cs="Times New Roman"/>
          <w:color w:val="212529"/>
        </w:rPr>
        <w:t>Winfried Corduan, </w:t>
      </w:r>
      <w:r w:rsidRPr="00082814">
        <w:rPr>
          <w:rStyle w:val="Emphasis"/>
          <w:rFonts w:ascii="Times New Roman" w:hAnsi="Times New Roman" w:cs="Times New Roman"/>
          <w:color w:val="212529"/>
        </w:rPr>
        <w:t>Neighboring Faiths: A Christian Introduction to World Religions</w:t>
      </w:r>
      <w:r w:rsidRPr="00082814">
        <w:rPr>
          <w:rFonts w:ascii="Times New Roman" w:hAnsi="Times New Roman" w:cs="Times New Roman"/>
          <w:color w:val="212529"/>
        </w:rPr>
        <w:t>. 2nd ed. (Downers Grove: InterVarsity Press, 2012), 18</w:t>
      </w:r>
      <w:r>
        <w:rPr>
          <w:rFonts w:ascii="Times New Roman" w:hAnsi="Times New Roman" w:cs="Times New Roman"/>
          <w:color w:val="212529"/>
        </w:rPr>
        <w:t>9.</w:t>
      </w:r>
    </w:p>
  </w:footnote>
  <w:footnote w:id="2">
    <w:p w14:paraId="2E829E02" w14:textId="77777777" w:rsidR="002C4965" w:rsidRDefault="002C4965" w:rsidP="002C4965">
      <w:pPr>
        <w:pStyle w:val="FootnoteText"/>
      </w:pPr>
      <w:r>
        <w:rPr>
          <w:rStyle w:val="FootnoteReference"/>
        </w:rPr>
        <w:footnoteRef/>
      </w:r>
      <w:r>
        <w:t xml:space="preserve"> Ibid., 89.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935"/>
    <w:rsid w:val="002C4965"/>
    <w:rsid w:val="003E3336"/>
    <w:rsid w:val="006B7F18"/>
    <w:rsid w:val="006C4935"/>
    <w:rsid w:val="006F1977"/>
    <w:rsid w:val="00ED6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7BD51"/>
  <w15:chartTrackingRefBased/>
  <w15:docId w15:val="{AE1B7F87-8631-4444-B163-2F0F8021D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E33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3336"/>
    <w:rPr>
      <w:sz w:val="20"/>
      <w:szCs w:val="20"/>
    </w:rPr>
  </w:style>
  <w:style w:type="character" w:styleId="FootnoteReference">
    <w:name w:val="footnote reference"/>
    <w:basedOn w:val="DefaultParagraphFont"/>
    <w:uiPriority w:val="99"/>
    <w:semiHidden/>
    <w:unhideWhenUsed/>
    <w:rsid w:val="003E3336"/>
    <w:rPr>
      <w:vertAlign w:val="superscript"/>
    </w:rPr>
  </w:style>
  <w:style w:type="character" w:styleId="Emphasis">
    <w:name w:val="Emphasis"/>
    <w:basedOn w:val="DefaultParagraphFont"/>
    <w:uiPriority w:val="20"/>
    <w:qFormat/>
    <w:rsid w:val="003E3336"/>
    <w:rPr>
      <w:i/>
      <w:iCs/>
    </w:rPr>
  </w:style>
  <w:style w:type="paragraph" w:styleId="NormalWeb">
    <w:name w:val="Normal (Web)"/>
    <w:basedOn w:val="Normal"/>
    <w:uiPriority w:val="99"/>
    <w:unhideWhenUsed/>
    <w:rsid w:val="006F197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F19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114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0A9DE18-8D12-4E4F-B3E8-C3A0FC14A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177</Words>
  <Characters>1014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2021-07-10T21:59:00Z</dcterms:created>
  <dcterms:modified xsi:type="dcterms:W3CDTF">2021-07-10T22:35:00Z</dcterms:modified>
</cp:coreProperties>
</file>