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A93F3" w14:textId="1D651228" w:rsidR="00082814" w:rsidRPr="00082814" w:rsidRDefault="00082814" w:rsidP="00082814">
      <w:pPr>
        <w:spacing w:after="0" w:line="240" w:lineRule="auto"/>
        <w:rPr>
          <w:rFonts w:ascii="Times New Roman" w:eastAsia="Times New Roman" w:hAnsi="Times New Roman" w:cs="Times New Roman"/>
          <w:color w:val="0E101A"/>
          <w:sz w:val="24"/>
          <w:szCs w:val="24"/>
        </w:rPr>
      </w:pPr>
      <w:r w:rsidRPr="00082814">
        <w:rPr>
          <w:rFonts w:ascii="Times New Roman" w:eastAsia="Times New Roman" w:hAnsi="Times New Roman" w:cs="Times New Roman"/>
          <w:color w:val="0E101A"/>
          <w:sz w:val="24"/>
          <w:szCs w:val="24"/>
        </w:rPr>
        <w:t>Zoroaster, also known as Zarathustra was a Persian (Iranian) priest-turned-prophet who founded what is now known as Zoroastrianism. Though his birth is shrouded in mythology, many traditions purport that he was born around 628 BC.</w:t>
      </w:r>
      <w:r w:rsidRPr="00B4162A">
        <w:rPr>
          <w:rStyle w:val="FootnoteReference"/>
          <w:rFonts w:ascii="Times New Roman" w:hAnsi="Times New Roman" w:cs="Times New Roman"/>
          <w:sz w:val="24"/>
          <w:szCs w:val="24"/>
        </w:rPr>
        <w:t xml:space="preserve"> </w:t>
      </w:r>
      <w:r w:rsidRPr="00B4162A">
        <w:rPr>
          <w:rStyle w:val="FootnoteReference"/>
          <w:rFonts w:ascii="Times New Roman" w:hAnsi="Times New Roman" w:cs="Times New Roman"/>
          <w:sz w:val="24"/>
          <w:szCs w:val="24"/>
        </w:rPr>
        <w:footnoteReference w:id="1"/>
      </w:r>
      <w:r w:rsidRPr="00082814">
        <w:rPr>
          <w:rFonts w:ascii="Times New Roman" w:eastAsia="Times New Roman" w:hAnsi="Times New Roman" w:cs="Times New Roman"/>
          <w:color w:val="0E101A"/>
          <w:sz w:val="24"/>
          <w:szCs w:val="24"/>
        </w:rPr>
        <w:t> Others purport that he was born quite earlier than that. Surviving writings claim that he left his family at the age of twenty to become a priest.</w:t>
      </w:r>
      <w:r w:rsidRPr="00B4162A">
        <w:rPr>
          <w:rStyle w:val="FootnoteReference"/>
          <w:rFonts w:ascii="Times New Roman" w:hAnsi="Times New Roman" w:cs="Times New Roman"/>
          <w:sz w:val="24"/>
          <w:szCs w:val="24"/>
        </w:rPr>
        <w:footnoteReference w:id="2"/>
      </w:r>
      <w:r w:rsidRPr="00082814">
        <w:rPr>
          <w:rFonts w:ascii="Times New Roman" w:eastAsia="Times New Roman" w:hAnsi="Times New Roman" w:cs="Times New Roman"/>
          <w:color w:val="0E101A"/>
          <w:sz w:val="24"/>
          <w:szCs w:val="24"/>
        </w:rPr>
        <w:t> According to those writings, he spent a lot of time meditating in the mountains, although he also officiated priestly rituals.</w:t>
      </w:r>
      <w:r w:rsidRPr="00B4162A">
        <w:rPr>
          <w:rStyle w:val="FootnoteReference"/>
          <w:rFonts w:ascii="Times New Roman" w:hAnsi="Times New Roman" w:cs="Times New Roman"/>
          <w:sz w:val="24"/>
          <w:szCs w:val="24"/>
        </w:rPr>
        <w:footnoteReference w:id="3"/>
      </w:r>
      <w:r w:rsidRPr="00082814">
        <w:rPr>
          <w:rFonts w:ascii="Times New Roman" w:eastAsia="Times New Roman" w:hAnsi="Times New Roman" w:cs="Times New Roman"/>
          <w:color w:val="0E101A"/>
          <w:sz w:val="24"/>
          <w:szCs w:val="24"/>
        </w:rPr>
        <w:t> At thirty years old, these traditions claim that he had a spiritual encounter when he was on the bank of the Daitya River. In this encounter, he ascended to heaven and met Ahura Mazda, who instructed him in what he was to teach from that time forward.</w:t>
      </w:r>
      <w:r w:rsidRPr="00B4162A">
        <w:rPr>
          <w:rStyle w:val="FootnoteReference"/>
          <w:rFonts w:ascii="Times New Roman" w:hAnsi="Times New Roman" w:cs="Times New Roman"/>
          <w:sz w:val="24"/>
          <w:szCs w:val="24"/>
        </w:rPr>
        <w:footnoteReference w:id="4"/>
      </w:r>
      <w:r w:rsidRPr="00082814">
        <w:rPr>
          <w:rFonts w:ascii="Times New Roman" w:eastAsia="Times New Roman" w:hAnsi="Times New Roman" w:cs="Times New Roman"/>
          <w:color w:val="0E101A"/>
          <w:sz w:val="24"/>
          <w:szCs w:val="24"/>
        </w:rPr>
        <w:t> Zoroaster spent a better part of his adulthood preaching and teaching about the instructions Ahura Mazda gave him. Winfried Corduan avers, "Much of his teachings cut at the livelihood of the professional priesthood as well as beliefs and practices that were dear to the common people."</w:t>
      </w:r>
      <w:r w:rsidRPr="00B4162A">
        <w:rPr>
          <w:rStyle w:val="FootnoteReference"/>
          <w:rFonts w:ascii="Times New Roman" w:hAnsi="Times New Roman" w:cs="Times New Roman"/>
          <w:sz w:val="24"/>
          <w:szCs w:val="24"/>
        </w:rPr>
        <w:footnoteReference w:id="5"/>
      </w:r>
      <w:r w:rsidRPr="00082814">
        <w:rPr>
          <w:rFonts w:ascii="Times New Roman" w:eastAsia="Times New Roman" w:hAnsi="Times New Roman" w:cs="Times New Roman"/>
          <w:color w:val="0E101A"/>
          <w:sz w:val="24"/>
          <w:szCs w:val="24"/>
        </w:rPr>
        <w:t> His primary teaching was an eventual move back to monotheism. He taught that Ahura Mazda is one God with six other beings. In religious terms, a god consisting of seven Amesha Spentas. Zoroaster also taught that Ahura Mazda had a counterposing evil spirit known as Angra Mainyu. Angra Mainyu seeks to divert people from worshipping Ahura Mazda. Others have said his teaching is dualistic as forces of good are countered with forces of evil. Ultimately, good triumphs over evil. Another teaching of Zoroaster is that of ritual practices. Zoroaster opposed the system of animal sacrifices as it was not only cruel to animals but also unsustainable.</w:t>
      </w:r>
      <w:r w:rsidRPr="00B4162A">
        <w:rPr>
          <w:rStyle w:val="FootnoteReference"/>
          <w:rFonts w:ascii="Times New Roman" w:hAnsi="Times New Roman" w:cs="Times New Roman"/>
          <w:sz w:val="24"/>
          <w:szCs w:val="24"/>
        </w:rPr>
        <w:t xml:space="preserve"> </w:t>
      </w:r>
      <w:r w:rsidRPr="00B4162A">
        <w:rPr>
          <w:rStyle w:val="FootnoteReference"/>
          <w:rFonts w:ascii="Times New Roman" w:hAnsi="Times New Roman" w:cs="Times New Roman"/>
          <w:sz w:val="24"/>
          <w:szCs w:val="24"/>
        </w:rPr>
        <w:footnoteReference w:id="6"/>
      </w:r>
    </w:p>
    <w:p w14:paraId="4ACA74DE" w14:textId="75E774DF" w:rsidR="00082814" w:rsidRPr="00082814" w:rsidRDefault="00082814" w:rsidP="00082814">
      <w:pPr>
        <w:spacing w:after="0" w:line="240" w:lineRule="auto"/>
        <w:rPr>
          <w:rFonts w:ascii="Times New Roman" w:eastAsia="Times New Roman" w:hAnsi="Times New Roman" w:cs="Times New Roman"/>
          <w:color w:val="0E101A"/>
          <w:sz w:val="24"/>
          <w:szCs w:val="24"/>
        </w:rPr>
      </w:pPr>
      <w:r w:rsidRPr="00082814">
        <w:rPr>
          <w:rFonts w:ascii="Times New Roman" w:eastAsia="Times New Roman" w:hAnsi="Times New Roman" w:cs="Times New Roman"/>
          <w:color w:val="0E101A"/>
          <w:sz w:val="24"/>
          <w:szCs w:val="24"/>
        </w:rPr>
        <w:t xml:space="preserve">Perhaps the most significant similarity between Zoroastrianism and Judaism is that both are monotheistic religions. Their holy scriptures emphatically proclaim the oneness of God. </w:t>
      </w:r>
      <w:r w:rsidR="00A20508" w:rsidRPr="00B4162A">
        <w:rPr>
          <w:rFonts w:ascii="Times New Roman" w:eastAsia="Times New Roman" w:hAnsi="Times New Roman" w:cs="Times New Roman"/>
          <w:color w:val="0E101A"/>
          <w:sz w:val="24"/>
          <w:szCs w:val="24"/>
        </w:rPr>
        <w:t>The Hebrew Scriptures</w:t>
      </w:r>
      <w:r w:rsidRPr="00082814">
        <w:rPr>
          <w:rFonts w:ascii="Times New Roman" w:eastAsia="Times New Roman" w:hAnsi="Times New Roman" w:cs="Times New Roman"/>
          <w:color w:val="0E101A"/>
          <w:sz w:val="24"/>
          <w:szCs w:val="24"/>
        </w:rPr>
        <w:t>, the Tanakh says, “Hear, O Israel: The Lord our God, the Lord is one” (Deut 6:4).</w:t>
      </w:r>
      <w:r w:rsidRPr="00B4162A">
        <w:rPr>
          <w:rStyle w:val="FootnoteReference"/>
          <w:rFonts w:ascii="Times New Roman" w:eastAsia="Times New Roman" w:hAnsi="Times New Roman" w:cs="Times New Roman"/>
          <w:color w:val="0E101A"/>
          <w:sz w:val="24"/>
          <w:szCs w:val="24"/>
        </w:rPr>
        <w:footnoteReference w:id="7"/>
      </w:r>
      <w:r w:rsidRPr="00082814">
        <w:rPr>
          <w:rFonts w:ascii="Times New Roman" w:eastAsia="Times New Roman" w:hAnsi="Times New Roman" w:cs="Times New Roman"/>
          <w:color w:val="0E101A"/>
          <w:sz w:val="24"/>
          <w:szCs w:val="24"/>
        </w:rPr>
        <w:t xml:space="preserve"> Similarly, a Zoroastrian scholar postulates, “It must never be forgotten that all these six are not different Beings, nor even the ‘creations’ of the Supreme. They are in very truth aspects of Ahura Mazda... These six 'Holy Immortals' together with Ahura Mazda made a Heptad, who are known in later literature as the ‘Seven Amesha-Spenta."</w:t>
      </w:r>
      <w:r w:rsidRPr="00B4162A">
        <w:rPr>
          <w:rStyle w:val="FootnoteReference"/>
          <w:rFonts w:ascii="Times New Roman" w:hAnsi="Times New Roman" w:cs="Times New Roman"/>
          <w:color w:val="000000"/>
          <w:sz w:val="24"/>
          <w:szCs w:val="24"/>
          <w:shd w:val="clear" w:color="auto" w:fill="FFFFFF"/>
        </w:rPr>
        <w:footnoteReference w:id="8"/>
      </w:r>
      <w:r w:rsidRPr="00082814">
        <w:rPr>
          <w:rFonts w:ascii="Times New Roman" w:eastAsia="Times New Roman" w:hAnsi="Times New Roman" w:cs="Times New Roman"/>
          <w:color w:val="0E101A"/>
          <w:sz w:val="24"/>
          <w:szCs w:val="24"/>
        </w:rPr>
        <w:t> Besides, there is a similar inclination towards dualism in both religions. Judaism considers the person that obeys God blessed and one that disobeys him cursed. Zoroastrianism similarly teaches the forces of good war against the forces of evil.</w:t>
      </w:r>
    </w:p>
    <w:p w14:paraId="53F24D34" w14:textId="42AFDCCB" w:rsidR="00082814" w:rsidRPr="00082814" w:rsidRDefault="00082814" w:rsidP="00082814">
      <w:pPr>
        <w:spacing w:after="0" w:line="240" w:lineRule="auto"/>
        <w:rPr>
          <w:rFonts w:ascii="Times New Roman" w:eastAsia="Times New Roman" w:hAnsi="Times New Roman" w:cs="Times New Roman"/>
          <w:color w:val="0E101A"/>
          <w:sz w:val="24"/>
          <w:szCs w:val="24"/>
        </w:rPr>
      </w:pPr>
      <w:r w:rsidRPr="00082814">
        <w:rPr>
          <w:rFonts w:ascii="Times New Roman" w:eastAsia="Times New Roman" w:hAnsi="Times New Roman" w:cs="Times New Roman"/>
          <w:color w:val="0E101A"/>
          <w:sz w:val="24"/>
          <w:szCs w:val="24"/>
        </w:rPr>
        <w:lastRenderedPageBreak/>
        <w:t>That said, there are also noticeable differences between Judaism and Zoroastrianism. First is the concept of deity. Even though both teach that God is one, Zoroastrianism teaches that God is in a cosmic battle with his counterpart the evil God (Satan). Judaism, on the other hand, conceives God as the Creator and sustainer of humankind</w:t>
      </w:r>
      <w:r w:rsidR="00A20508" w:rsidRPr="00B4162A">
        <w:rPr>
          <w:rFonts w:ascii="Times New Roman" w:eastAsia="Times New Roman" w:hAnsi="Times New Roman" w:cs="Times New Roman"/>
          <w:color w:val="0E101A"/>
          <w:sz w:val="24"/>
          <w:szCs w:val="24"/>
        </w:rPr>
        <w:t xml:space="preserve"> and also Satan</w:t>
      </w:r>
      <w:r w:rsidRPr="00082814">
        <w:rPr>
          <w:rFonts w:ascii="Times New Roman" w:eastAsia="Times New Roman" w:hAnsi="Times New Roman" w:cs="Times New Roman"/>
          <w:color w:val="0E101A"/>
          <w:sz w:val="24"/>
          <w:szCs w:val="24"/>
        </w:rPr>
        <w:t>. Second, Jews' scriptures are known as Tanakh but those of Zoroastrians are known as Avesta. Third, Jews teach about unification with God after death. In contrast, Zoroastrianism teaches personal judgment after death.</w:t>
      </w:r>
    </w:p>
    <w:p w14:paraId="1188AB98" w14:textId="5D232013" w:rsidR="00082814" w:rsidRPr="00082814" w:rsidRDefault="00082814" w:rsidP="00082814">
      <w:pPr>
        <w:spacing w:after="0" w:line="240" w:lineRule="auto"/>
        <w:rPr>
          <w:rFonts w:ascii="Times New Roman" w:eastAsia="Times New Roman" w:hAnsi="Times New Roman" w:cs="Times New Roman"/>
          <w:color w:val="0E101A"/>
          <w:sz w:val="24"/>
          <w:szCs w:val="24"/>
        </w:rPr>
      </w:pPr>
      <w:r w:rsidRPr="00082814">
        <w:rPr>
          <w:rFonts w:ascii="Times New Roman" w:eastAsia="Times New Roman" w:hAnsi="Times New Roman" w:cs="Times New Roman"/>
          <w:color w:val="0E101A"/>
          <w:sz w:val="24"/>
          <w:szCs w:val="24"/>
        </w:rPr>
        <w:t>In closing, I must admit that I have never met a person practicing Judaism. Nonetheless, I have interacted with a Jew practicing Buddhism. Sometimes back, I took my church teens to observe other places of worship. We visited a Hindu temple, a mosque, and a Buddhist temple. I met the Jewish lady in a Buddhist Temple. The opportunity the visit gave us was that we were able to ask questions about what she believed and in return, we were able to tell her and others what we believe. After reading the course material, I learn that I should not assume that I understand Judaism because I have read the Old Testament neither entertain a snooty attitude. Also, I have learned that I should not ask a Jew to defend what I may find unacceptable in Judaism. Instead, I should try to understand it from their perspective. Most importantly, I need to keep uppermost in my minds that a Jewish person needs to find Jesus Christ as Savior, not because the temple is gone and there are no more sacrifices, but because he or she is a sinful human being who is alienated from God, a fact that has an impact on each person’s interior life and relationships with others.</w:t>
      </w:r>
      <w:r w:rsidRPr="00B4162A">
        <w:rPr>
          <w:rStyle w:val="FootnoteReference"/>
          <w:rFonts w:ascii="Times New Roman" w:hAnsi="Times New Roman" w:cs="Times New Roman"/>
          <w:color w:val="000000"/>
          <w:sz w:val="24"/>
          <w:szCs w:val="24"/>
          <w:shd w:val="clear" w:color="auto" w:fill="FFFFFF"/>
        </w:rPr>
        <w:footnoteReference w:id="9"/>
      </w:r>
    </w:p>
    <w:p w14:paraId="70180A54" w14:textId="786B5E23" w:rsidR="007322D6" w:rsidRPr="00B4162A" w:rsidRDefault="007322D6">
      <w:pPr>
        <w:rPr>
          <w:rFonts w:ascii="Times New Roman" w:hAnsi="Times New Roman" w:cs="Times New Roman"/>
          <w:color w:val="000000"/>
          <w:sz w:val="24"/>
          <w:szCs w:val="24"/>
          <w:shd w:val="clear" w:color="auto" w:fill="FFFFFF"/>
        </w:rPr>
      </w:pPr>
    </w:p>
    <w:p w14:paraId="4A076F68" w14:textId="067FFBBE" w:rsidR="00A30EF6" w:rsidRPr="00B4162A" w:rsidRDefault="00A30EF6">
      <w:pPr>
        <w:rPr>
          <w:rFonts w:ascii="Times New Roman" w:hAnsi="Times New Roman" w:cs="Times New Roman"/>
          <w:color w:val="000000"/>
          <w:sz w:val="24"/>
          <w:szCs w:val="24"/>
          <w:shd w:val="clear" w:color="auto" w:fill="FFFFFF"/>
        </w:rPr>
      </w:pPr>
      <w:r w:rsidRPr="00B4162A">
        <w:rPr>
          <w:rFonts w:ascii="Times New Roman" w:hAnsi="Times New Roman" w:cs="Times New Roman"/>
          <w:color w:val="000000"/>
          <w:sz w:val="24"/>
          <w:szCs w:val="24"/>
          <w:shd w:val="clear" w:color="auto" w:fill="FFFFFF"/>
        </w:rPr>
        <w:t>(766 Words)</w:t>
      </w:r>
    </w:p>
    <w:p w14:paraId="21FEEC55" w14:textId="01ADFF71" w:rsidR="007322D6" w:rsidRPr="00B4162A" w:rsidRDefault="007322D6">
      <w:pPr>
        <w:rPr>
          <w:rFonts w:ascii="Times New Roman" w:hAnsi="Times New Roman" w:cs="Times New Roman"/>
          <w:b/>
          <w:bCs/>
          <w:color w:val="000000"/>
          <w:sz w:val="24"/>
          <w:szCs w:val="24"/>
          <w:shd w:val="clear" w:color="auto" w:fill="FFFFFF"/>
        </w:rPr>
      </w:pPr>
      <w:r w:rsidRPr="00B4162A">
        <w:rPr>
          <w:rFonts w:ascii="Times New Roman" w:hAnsi="Times New Roman" w:cs="Times New Roman"/>
          <w:b/>
          <w:bCs/>
          <w:color w:val="000000"/>
          <w:sz w:val="24"/>
          <w:szCs w:val="24"/>
          <w:shd w:val="clear" w:color="auto" w:fill="FFFFFF"/>
        </w:rPr>
        <w:t>Bibliography</w:t>
      </w:r>
    </w:p>
    <w:p w14:paraId="62AE9F44" w14:textId="77777777" w:rsidR="007322D6" w:rsidRPr="00B4162A" w:rsidRDefault="007322D6" w:rsidP="007322D6">
      <w:pPr>
        <w:pStyle w:val="NormalWeb"/>
        <w:shd w:val="clear" w:color="auto" w:fill="FFFFFF"/>
        <w:spacing w:before="0" w:beforeAutospacing="0"/>
        <w:ind w:left="720" w:hanging="720"/>
        <w:rPr>
          <w:color w:val="212529"/>
        </w:rPr>
      </w:pPr>
      <w:r w:rsidRPr="00B4162A">
        <w:rPr>
          <w:color w:val="212529"/>
        </w:rPr>
        <w:t>Corduan, Winfried. </w:t>
      </w:r>
      <w:r w:rsidRPr="00B4162A">
        <w:rPr>
          <w:rStyle w:val="Emphasis"/>
          <w:color w:val="212529"/>
        </w:rPr>
        <w:t>Neighboring Faiths: A Christian Introduction to World Religions</w:t>
      </w:r>
      <w:r w:rsidRPr="00B4162A">
        <w:rPr>
          <w:color w:val="212529"/>
        </w:rPr>
        <w:t>. 2nd ed. Downers Grove: InterVarsity Press, 2012.</w:t>
      </w:r>
    </w:p>
    <w:p w14:paraId="0B2D44A2" w14:textId="77777777" w:rsidR="007322D6" w:rsidRPr="00B4162A" w:rsidRDefault="007322D6">
      <w:pPr>
        <w:rPr>
          <w:rFonts w:ascii="Times New Roman" w:hAnsi="Times New Roman" w:cs="Times New Roman"/>
          <w:sz w:val="24"/>
          <w:szCs w:val="24"/>
        </w:rPr>
      </w:pPr>
    </w:p>
    <w:sectPr w:rsidR="007322D6" w:rsidRPr="00B416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FF7B" w14:textId="77777777" w:rsidR="0063587D" w:rsidRDefault="0063587D" w:rsidP="00805FAA">
      <w:pPr>
        <w:spacing w:after="0" w:line="240" w:lineRule="auto"/>
      </w:pPr>
      <w:r>
        <w:separator/>
      </w:r>
    </w:p>
  </w:endnote>
  <w:endnote w:type="continuationSeparator" w:id="0">
    <w:p w14:paraId="3F8A0306" w14:textId="77777777" w:rsidR="0063587D" w:rsidRDefault="0063587D" w:rsidP="0080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6D51" w14:textId="77777777" w:rsidR="0063587D" w:rsidRDefault="0063587D" w:rsidP="00805FAA">
      <w:pPr>
        <w:spacing w:after="0" w:line="240" w:lineRule="auto"/>
      </w:pPr>
      <w:r>
        <w:separator/>
      </w:r>
    </w:p>
  </w:footnote>
  <w:footnote w:type="continuationSeparator" w:id="0">
    <w:p w14:paraId="15D71AB4" w14:textId="77777777" w:rsidR="0063587D" w:rsidRDefault="0063587D" w:rsidP="00805FAA">
      <w:pPr>
        <w:spacing w:after="0" w:line="240" w:lineRule="auto"/>
      </w:pPr>
      <w:r>
        <w:continuationSeparator/>
      </w:r>
    </w:p>
  </w:footnote>
  <w:footnote w:id="1">
    <w:p w14:paraId="48EF7138" w14:textId="77777777" w:rsidR="00082814" w:rsidRPr="00082814" w:rsidRDefault="00082814" w:rsidP="00082814">
      <w:pPr>
        <w:pStyle w:val="FootnoteText"/>
        <w:spacing w:after="240"/>
        <w:ind w:firstLine="720"/>
        <w:rPr>
          <w:rFonts w:ascii="Times New Roman" w:hAnsi="Times New Roman" w:cs="Times New Roman"/>
        </w:rPr>
      </w:pPr>
      <w:r>
        <w:rPr>
          <w:rStyle w:val="FootnoteReference"/>
        </w:rPr>
        <w:footnoteRef/>
      </w:r>
      <w:r>
        <w:t xml:space="preserve"> </w:t>
      </w:r>
      <w:r w:rsidRPr="00082814">
        <w:rPr>
          <w:rFonts w:ascii="Times New Roman" w:hAnsi="Times New Roman" w:cs="Times New Roman"/>
          <w:color w:val="212529"/>
        </w:rPr>
        <w:t>Winfried Corduan, </w:t>
      </w:r>
      <w:r w:rsidRPr="00082814">
        <w:rPr>
          <w:rStyle w:val="Emphasis"/>
          <w:rFonts w:ascii="Times New Roman" w:hAnsi="Times New Roman" w:cs="Times New Roman"/>
          <w:color w:val="212529"/>
        </w:rPr>
        <w:t>Neighboring Faiths: A Christian Introduction to World Religions</w:t>
      </w:r>
      <w:r w:rsidRPr="00082814">
        <w:rPr>
          <w:rFonts w:ascii="Times New Roman" w:hAnsi="Times New Roman" w:cs="Times New Roman"/>
          <w:color w:val="212529"/>
        </w:rPr>
        <w:t>. 2nd ed. (Downers Grove: InterVarsity Press, 2012), 187.</w:t>
      </w:r>
    </w:p>
  </w:footnote>
  <w:footnote w:id="2">
    <w:p w14:paraId="24630B55" w14:textId="77777777" w:rsidR="00082814" w:rsidRPr="00082814" w:rsidRDefault="00082814" w:rsidP="00082814">
      <w:pPr>
        <w:pStyle w:val="FootnoteText"/>
        <w:spacing w:after="240"/>
        <w:ind w:firstLine="720"/>
        <w:rPr>
          <w:rFonts w:ascii="Times New Roman" w:hAnsi="Times New Roman" w:cs="Times New Roman"/>
        </w:rPr>
      </w:pPr>
      <w:r w:rsidRPr="00082814">
        <w:rPr>
          <w:rStyle w:val="FootnoteReference"/>
          <w:rFonts w:ascii="Times New Roman" w:hAnsi="Times New Roman" w:cs="Times New Roman"/>
        </w:rPr>
        <w:footnoteRef/>
      </w:r>
      <w:r w:rsidRPr="00082814">
        <w:rPr>
          <w:rFonts w:ascii="Times New Roman" w:hAnsi="Times New Roman" w:cs="Times New Roman"/>
        </w:rPr>
        <w:t xml:space="preserve"> Ibid., 187.</w:t>
      </w:r>
    </w:p>
  </w:footnote>
  <w:footnote w:id="3">
    <w:p w14:paraId="42105660" w14:textId="77777777" w:rsidR="00082814" w:rsidRPr="00082814" w:rsidRDefault="00082814" w:rsidP="00082814">
      <w:pPr>
        <w:pStyle w:val="FootnoteText"/>
        <w:spacing w:after="240"/>
        <w:ind w:firstLine="720"/>
        <w:rPr>
          <w:rFonts w:ascii="Times New Roman" w:hAnsi="Times New Roman" w:cs="Times New Roman"/>
        </w:rPr>
      </w:pPr>
      <w:r w:rsidRPr="00082814">
        <w:rPr>
          <w:rStyle w:val="FootnoteReference"/>
          <w:rFonts w:ascii="Times New Roman" w:hAnsi="Times New Roman" w:cs="Times New Roman"/>
        </w:rPr>
        <w:footnoteRef/>
      </w:r>
      <w:r w:rsidRPr="00082814">
        <w:rPr>
          <w:rFonts w:ascii="Times New Roman" w:hAnsi="Times New Roman" w:cs="Times New Roman"/>
        </w:rPr>
        <w:t xml:space="preserve"> Ibid., 187.</w:t>
      </w:r>
    </w:p>
  </w:footnote>
  <w:footnote w:id="4">
    <w:p w14:paraId="783E7F68" w14:textId="77777777" w:rsidR="00082814" w:rsidRPr="00082814" w:rsidRDefault="00082814" w:rsidP="00082814">
      <w:pPr>
        <w:pStyle w:val="FootnoteText"/>
        <w:spacing w:after="240"/>
        <w:ind w:firstLine="720"/>
        <w:rPr>
          <w:rFonts w:ascii="Times New Roman" w:hAnsi="Times New Roman" w:cs="Times New Roman"/>
        </w:rPr>
      </w:pPr>
      <w:r w:rsidRPr="00082814">
        <w:rPr>
          <w:rStyle w:val="FootnoteReference"/>
          <w:rFonts w:ascii="Times New Roman" w:hAnsi="Times New Roman" w:cs="Times New Roman"/>
        </w:rPr>
        <w:footnoteRef/>
      </w:r>
      <w:r w:rsidRPr="00082814">
        <w:rPr>
          <w:rFonts w:ascii="Times New Roman" w:hAnsi="Times New Roman" w:cs="Times New Roman"/>
        </w:rPr>
        <w:t xml:space="preserve"> Ibid., 187.</w:t>
      </w:r>
    </w:p>
  </w:footnote>
  <w:footnote w:id="5">
    <w:p w14:paraId="3C3E4098" w14:textId="77777777" w:rsidR="00082814" w:rsidRPr="00082814" w:rsidRDefault="00082814" w:rsidP="00082814">
      <w:pPr>
        <w:pStyle w:val="FootnoteText"/>
        <w:spacing w:after="240"/>
        <w:ind w:firstLine="720"/>
        <w:rPr>
          <w:rFonts w:ascii="Times New Roman" w:hAnsi="Times New Roman" w:cs="Times New Roman"/>
        </w:rPr>
      </w:pPr>
      <w:r w:rsidRPr="00082814">
        <w:rPr>
          <w:rStyle w:val="FootnoteReference"/>
          <w:rFonts w:ascii="Times New Roman" w:hAnsi="Times New Roman" w:cs="Times New Roman"/>
        </w:rPr>
        <w:footnoteRef/>
      </w:r>
      <w:r w:rsidRPr="00082814">
        <w:rPr>
          <w:rFonts w:ascii="Times New Roman" w:hAnsi="Times New Roman" w:cs="Times New Roman"/>
        </w:rPr>
        <w:t xml:space="preserve"> Ibid., 188.</w:t>
      </w:r>
    </w:p>
  </w:footnote>
  <w:footnote w:id="6">
    <w:p w14:paraId="76CCF311" w14:textId="77777777" w:rsidR="00082814" w:rsidRPr="00082814" w:rsidRDefault="00082814" w:rsidP="00082814">
      <w:pPr>
        <w:pStyle w:val="FootnoteText"/>
        <w:spacing w:after="240"/>
        <w:ind w:firstLine="720"/>
        <w:rPr>
          <w:rFonts w:ascii="Times New Roman" w:hAnsi="Times New Roman" w:cs="Times New Roman"/>
        </w:rPr>
      </w:pPr>
      <w:r w:rsidRPr="00082814">
        <w:rPr>
          <w:rStyle w:val="FootnoteReference"/>
          <w:rFonts w:ascii="Times New Roman" w:hAnsi="Times New Roman" w:cs="Times New Roman"/>
        </w:rPr>
        <w:footnoteRef/>
      </w:r>
      <w:r w:rsidRPr="00082814">
        <w:rPr>
          <w:rFonts w:ascii="Times New Roman" w:hAnsi="Times New Roman" w:cs="Times New Roman"/>
        </w:rPr>
        <w:t xml:space="preserve"> Ibid., 190.</w:t>
      </w:r>
    </w:p>
  </w:footnote>
  <w:footnote w:id="7">
    <w:p w14:paraId="48E8DF7F" w14:textId="7FDE6723" w:rsidR="00082814" w:rsidRPr="00082814" w:rsidRDefault="00082814" w:rsidP="00082814">
      <w:pPr>
        <w:pStyle w:val="FootnoteText"/>
        <w:spacing w:after="240"/>
        <w:ind w:firstLine="720"/>
        <w:rPr>
          <w:rFonts w:ascii="Times New Roman" w:hAnsi="Times New Roman" w:cs="Times New Roman"/>
        </w:rPr>
      </w:pPr>
      <w:r w:rsidRPr="00082814">
        <w:rPr>
          <w:rStyle w:val="FootnoteReference"/>
          <w:rFonts w:ascii="Times New Roman" w:hAnsi="Times New Roman" w:cs="Times New Roman"/>
        </w:rPr>
        <w:footnoteRef/>
      </w:r>
      <w:r w:rsidRPr="00082814">
        <w:rPr>
          <w:rFonts w:ascii="Times New Roman" w:hAnsi="Times New Roman" w:cs="Times New Roman"/>
        </w:rPr>
        <w:t xml:space="preserve"> </w:t>
      </w:r>
      <w:r w:rsidRPr="00082814">
        <w:rPr>
          <w:rFonts w:ascii="Times New Roman" w:hAnsi="Times New Roman" w:cs="Times New Roman"/>
        </w:rPr>
        <w:t xml:space="preserve">Unless otherwise noted, all biblical passages referenced are in the </w:t>
      </w:r>
      <w:r w:rsidRPr="00082814">
        <w:rPr>
          <w:rFonts w:ascii="Times New Roman" w:hAnsi="Times New Roman" w:cs="Times New Roman"/>
          <w:i/>
          <w:iCs/>
        </w:rPr>
        <w:t>New International Version</w:t>
      </w:r>
      <w:r w:rsidRPr="00082814">
        <w:rPr>
          <w:rFonts w:ascii="Times New Roman" w:hAnsi="Times New Roman" w:cs="Times New Roman"/>
        </w:rPr>
        <w:t xml:space="preserve"> (Grand Rapids, MI: Zondervan, 2011).</w:t>
      </w:r>
    </w:p>
  </w:footnote>
  <w:footnote w:id="8">
    <w:p w14:paraId="22C84513" w14:textId="77777777" w:rsidR="00082814" w:rsidRDefault="00082814" w:rsidP="00082814">
      <w:pPr>
        <w:pStyle w:val="FootnoteText"/>
        <w:spacing w:after="240"/>
        <w:ind w:firstLine="720"/>
      </w:pPr>
      <w:r w:rsidRPr="00082814">
        <w:rPr>
          <w:rStyle w:val="FootnoteReference"/>
          <w:rFonts w:ascii="Times New Roman" w:hAnsi="Times New Roman" w:cs="Times New Roman"/>
        </w:rPr>
        <w:footnoteRef/>
      </w:r>
      <w:r w:rsidRPr="00082814">
        <w:rPr>
          <w:rFonts w:ascii="Times New Roman" w:hAnsi="Times New Roman" w:cs="Times New Roman"/>
        </w:rPr>
        <w:t xml:space="preserve"> Ibid., 189</w:t>
      </w:r>
      <w:r>
        <w:t>.</w:t>
      </w:r>
    </w:p>
  </w:footnote>
  <w:footnote w:id="9">
    <w:p w14:paraId="27E7EB3C" w14:textId="77777777" w:rsidR="00082814" w:rsidRDefault="00082814" w:rsidP="00082814">
      <w:pPr>
        <w:pStyle w:val="FootnoteText"/>
      </w:pPr>
      <w:r>
        <w:rPr>
          <w:rStyle w:val="FootnoteReference"/>
        </w:rPr>
        <w:footnoteRef/>
      </w:r>
      <w:r>
        <w:t xml:space="preserve"> Ibid., 89.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7D1"/>
    <w:rsid w:val="00025D21"/>
    <w:rsid w:val="00082814"/>
    <w:rsid w:val="000D58CC"/>
    <w:rsid w:val="002F16C8"/>
    <w:rsid w:val="003B07D1"/>
    <w:rsid w:val="005D060C"/>
    <w:rsid w:val="0063587D"/>
    <w:rsid w:val="00692035"/>
    <w:rsid w:val="006C13D1"/>
    <w:rsid w:val="007322D6"/>
    <w:rsid w:val="00805FAA"/>
    <w:rsid w:val="0082162F"/>
    <w:rsid w:val="00A07FB3"/>
    <w:rsid w:val="00A20508"/>
    <w:rsid w:val="00A30EF6"/>
    <w:rsid w:val="00A445EB"/>
    <w:rsid w:val="00B05230"/>
    <w:rsid w:val="00B4162A"/>
    <w:rsid w:val="00C913EC"/>
    <w:rsid w:val="00D73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3FD02"/>
  <w15:chartTrackingRefBased/>
  <w15:docId w15:val="{2E3CC1AC-977D-4E32-B6A9-31B454A7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05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5FAA"/>
    <w:rPr>
      <w:sz w:val="20"/>
      <w:szCs w:val="20"/>
    </w:rPr>
  </w:style>
  <w:style w:type="character" w:styleId="FootnoteReference">
    <w:name w:val="footnote reference"/>
    <w:basedOn w:val="DefaultParagraphFont"/>
    <w:uiPriority w:val="99"/>
    <w:semiHidden/>
    <w:unhideWhenUsed/>
    <w:rsid w:val="00805FAA"/>
    <w:rPr>
      <w:vertAlign w:val="superscript"/>
    </w:rPr>
  </w:style>
  <w:style w:type="character" w:styleId="Emphasis">
    <w:name w:val="Emphasis"/>
    <w:basedOn w:val="DefaultParagraphFont"/>
    <w:uiPriority w:val="20"/>
    <w:qFormat/>
    <w:rsid w:val="00805FAA"/>
    <w:rPr>
      <w:i/>
      <w:iCs/>
    </w:rPr>
  </w:style>
  <w:style w:type="character" w:customStyle="1" w:styleId="small-caps">
    <w:name w:val="small-caps"/>
    <w:basedOn w:val="DefaultParagraphFont"/>
    <w:rsid w:val="00A445EB"/>
  </w:style>
  <w:style w:type="paragraph" w:styleId="NormalWeb">
    <w:name w:val="Normal (Web)"/>
    <w:basedOn w:val="Normal"/>
    <w:uiPriority w:val="99"/>
    <w:unhideWhenUsed/>
    <w:rsid w:val="007322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828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3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73840C1-4D8C-4D5A-B31D-03C39765B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2021-07-07T20:57:00Z</dcterms:created>
  <dcterms:modified xsi:type="dcterms:W3CDTF">2021-07-08T08:34:00Z</dcterms:modified>
</cp:coreProperties>
</file>