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3DB2B" w14:textId="2E74A631" w:rsidR="00A77B99" w:rsidRDefault="00A77B99" w:rsidP="00A77B99">
      <w:pPr>
        <w:pStyle w:val="NormalWeb"/>
        <w:spacing w:before="0" w:beforeAutospacing="0" w:after="0" w:afterAutospacing="0"/>
        <w:rPr>
          <w:color w:val="0E101A"/>
        </w:rPr>
      </w:pPr>
      <w:r>
        <w:rPr>
          <w:color w:val="0E101A"/>
        </w:rPr>
        <w:t>Bahaism is a variant of the Islamic faith that began in the nineteenth century. Founded by Baha’u’llah, the religion mainly advocates for world peace. Additionally, it emphasizes unifying humanity to the true worship of one God under the leadership of Baha’u’llah. Bahaism adherents are professional people who are in the habit of using their minds and contributing to causes that they support.</w:t>
      </w:r>
      <w:r>
        <w:rPr>
          <w:rStyle w:val="FootnoteReference"/>
        </w:rPr>
        <w:footnoteReference w:id="1"/>
      </w:r>
      <w:r>
        <w:rPr>
          <w:color w:val="0E101A"/>
        </w:rPr>
        <w:t> Winfried Corduan avers, “In its outward-directed image Baha’i stresses the importance of social reform, but personal devotion is also important to an individual.”</w:t>
      </w:r>
      <w:r>
        <w:rPr>
          <w:rStyle w:val="FootnoteReference"/>
        </w:rPr>
        <w:footnoteReference w:id="2"/>
      </w:r>
      <w:r>
        <w:rPr>
          <w:color w:val="0E101A"/>
        </w:rPr>
        <w:t> Besides, Bahaism emphasizes inclusivism. Consequently, it accommodates nearly all the other religions. Some scholars have argued that it is easier to confuse it with relativism because it suggests that all religions are legitimate ways to God. One particular scholar, Winfried Corduan confesses that he finds it difficult to sort out where Baha’i teaching leaves off and contemporary relativism takes over.</w:t>
      </w:r>
      <w:r>
        <w:rPr>
          <w:rStyle w:val="FootnoteReference"/>
        </w:rPr>
        <w:footnoteReference w:id="3"/>
      </w:r>
      <w:r>
        <w:rPr>
          <w:color w:val="0E101A"/>
        </w:rPr>
        <w:t> That said, at the heart of Bahaism is monotheism. Baha’u’llah taught that there is only one God. However, this one true God from time to time manifest</w:t>
      </w:r>
      <w:r>
        <w:rPr>
          <w:color w:val="0E101A"/>
        </w:rPr>
        <w:t>ed</w:t>
      </w:r>
      <w:r>
        <w:rPr>
          <w:color w:val="0E101A"/>
        </w:rPr>
        <w:t xml:space="preserve"> himself through prophets known as Babs. Baha’u’llah recognized nine Babs that included Abraham, Krishna, Moses, Zoroaster, Buddha, Jesus, Muhammad, the Bab, and himself.</w:t>
      </w:r>
      <w:r w:rsidRPr="00A77B99">
        <w:rPr>
          <w:rStyle w:val="FootnoteReference"/>
        </w:rPr>
        <w:t xml:space="preserve"> </w:t>
      </w:r>
      <w:r>
        <w:rPr>
          <w:rStyle w:val="FootnoteReference"/>
        </w:rPr>
        <w:footnoteReference w:id="4"/>
      </w:r>
      <w:r>
        <w:rPr>
          <w:color w:val="0E101A"/>
        </w:rPr>
        <w:t> Like the ten commandments of Moses, Baha’u’llah formulated ten principles that his followers are encouraged to adhere to. These are the oneness of humankind, independent investigation of truth, common foundation of all religions, the essential harmony of science and religion, equality of men and women, elimination of prejudice of all kinds, universal compulsory education, the spiritual solution to the economic problem, universal auxiliary language, and universal peace upheld by the world government.</w:t>
      </w:r>
      <w:r>
        <w:rPr>
          <w:rStyle w:val="FootnoteReference"/>
        </w:rPr>
        <w:footnoteReference w:id="5"/>
      </w:r>
    </w:p>
    <w:p w14:paraId="4EFBC9AD" w14:textId="7670A728" w:rsidR="00A77B99" w:rsidRDefault="00A77B99" w:rsidP="00A77B99">
      <w:pPr>
        <w:pStyle w:val="NormalWeb"/>
        <w:spacing w:before="0" w:beforeAutospacing="0" w:after="0" w:afterAutospacing="0"/>
        <w:rPr>
          <w:color w:val="0E101A"/>
        </w:rPr>
      </w:pPr>
      <w:r>
        <w:rPr>
          <w:color w:val="0E101A"/>
        </w:rPr>
        <w:t xml:space="preserve">Based on the readings and specifically Winfried Corduan’s section on “So you meet a Muslim” and “So You Meet a Muslim Extremist,” my approach to witnessing the two factions is starkly different. For the few years I have served as a missionary, I can say that taking a relational approach is the most effective way of witnessing to Muslims. Muslims want to be cared for, respected, and appreciated. If Christians can love them by demonstrating any acts of kindness, then those acts become a bridge through which </w:t>
      </w:r>
      <w:r>
        <w:rPr>
          <w:color w:val="0E101A"/>
        </w:rPr>
        <w:t>they</w:t>
      </w:r>
      <w:r>
        <w:rPr>
          <w:color w:val="0E101A"/>
        </w:rPr>
        <w:t xml:space="preserve"> can share the gospel with them. Also, sharing the gospel begins by letting go of stereotypes, biases, and prejudices against them. Though it is difficult to overcome them, taking into account that most of the terrorists’ activities are presently carried out by Islamic adherents, it is still worth trying.</w:t>
      </w:r>
    </w:p>
    <w:p w14:paraId="6EFC6FE9" w14:textId="5AC9A071" w:rsidR="00A563C7" w:rsidRDefault="00A77B99" w:rsidP="00A77B99">
      <w:pPr>
        <w:pStyle w:val="NormalWeb"/>
        <w:spacing w:before="0" w:beforeAutospacing="0" w:after="0" w:afterAutospacing="0"/>
        <w:rPr>
          <w:color w:val="0E101A"/>
        </w:rPr>
      </w:pPr>
      <w:r>
        <w:rPr>
          <w:color w:val="0E101A"/>
        </w:rPr>
        <w:t xml:space="preserve">When it comes to sharing the gospel, Christians have to anticipate Muslims raising issues with the concept of trinity and incarnation. Christians must thoroughly prepare to offer a solid explanation as to why the trinity does not mean they worship three gods and how Christ can be hundred percent human and hundred percent God. On the other hand, when witnessing to a Muslim extremist, a Christian must take great caution. Muslim extremists become irritated quickly and often are violent. A Christian must avoid talking about the things that will trigger a harsh reaction i.e., speaking lowly of prophet Muhammad. Other times, a Christian must judge the temperament of the person. I have once interacted with one Muslim extremist, suspected to be a Somali Al-Shabaab recruit. My church had posted me as a missionary intern at the South coast of Kenya. As this was my first time living among Muslims, I was naive about so many things. One day as I was on my usual door-to-door evangelism, I met this young man and </w:t>
      </w:r>
      <w:r>
        <w:rPr>
          <w:color w:val="0E101A"/>
        </w:rPr>
        <w:lastRenderedPageBreak/>
        <w:t>thought it a good idea to share the gospel with him. I did not know who he was until during our brief conversation, and later when a villager told me who he was, I learned that he was a Muslim extremist. My experience with him was unpleasant. Before then, I had never met someone as hostile. The man was not only agitated but also irritated by even the simplest of claims. I started by asking him if he knew who Jesus was of which he never responded. I thought it wise to continue further and explain to him that Jesus is God. At the mention of Jesus being God, he reacted with abusive slurs and nearly turned violent. I had to stop it at that moment and leave him alone. Later, another village told me that he was one of the young men that came from Somalia. A few days later, the government shut down the mosque that this young man used to attend. Stories came out later that they were Al-Shabaab recruits who had established a cell in the South Coast of Kenya.</w:t>
      </w:r>
    </w:p>
    <w:p w14:paraId="041CF316" w14:textId="65A632E9" w:rsidR="00A77B99" w:rsidRDefault="00A77B99" w:rsidP="00A77B99">
      <w:pPr>
        <w:pStyle w:val="NormalWeb"/>
        <w:spacing w:before="0" w:beforeAutospacing="0" w:after="0" w:afterAutospacing="0"/>
        <w:rPr>
          <w:color w:val="0E101A"/>
        </w:rPr>
      </w:pPr>
    </w:p>
    <w:p w14:paraId="33FBFD05" w14:textId="1ABD0679" w:rsidR="00A77B99" w:rsidRPr="00A77B99" w:rsidRDefault="00A77B99" w:rsidP="00A77B99">
      <w:pPr>
        <w:pStyle w:val="NormalWeb"/>
        <w:spacing w:before="0" w:beforeAutospacing="0" w:after="0" w:afterAutospacing="0"/>
        <w:rPr>
          <w:color w:val="0E101A"/>
        </w:rPr>
      </w:pPr>
      <w:r>
        <w:rPr>
          <w:color w:val="0E101A"/>
        </w:rPr>
        <w:t>(786 Words)</w:t>
      </w:r>
    </w:p>
    <w:sectPr w:rsidR="00A77B99" w:rsidRPr="00A77B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EA55D7" w14:textId="77777777" w:rsidR="00955530" w:rsidRDefault="00955530" w:rsidP="00901A30">
      <w:pPr>
        <w:spacing w:after="0" w:line="240" w:lineRule="auto"/>
      </w:pPr>
      <w:r>
        <w:separator/>
      </w:r>
    </w:p>
  </w:endnote>
  <w:endnote w:type="continuationSeparator" w:id="0">
    <w:p w14:paraId="7E08C251" w14:textId="77777777" w:rsidR="00955530" w:rsidRDefault="00955530" w:rsidP="00901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E1CE6" w14:textId="77777777" w:rsidR="00955530" w:rsidRDefault="00955530" w:rsidP="00901A30">
      <w:pPr>
        <w:spacing w:after="0" w:line="240" w:lineRule="auto"/>
      </w:pPr>
      <w:r>
        <w:separator/>
      </w:r>
    </w:p>
  </w:footnote>
  <w:footnote w:type="continuationSeparator" w:id="0">
    <w:p w14:paraId="1D433504" w14:textId="77777777" w:rsidR="00955530" w:rsidRDefault="00955530" w:rsidP="00901A30">
      <w:pPr>
        <w:spacing w:after="0" w:line="240" w:lineRule="auto"/>
      </w:pPr>
      <w:r>
        <w:continuationSeparator/>
      </w:r>
    </w:p>
  </w:footnote>
  <w:footnote w:id="1">
    <w:p w14:paraId="2707B55D" w14:textId="77777777" w:rsidR="00A77B99" w:rsidRDefault="00A77B99" w:rsidP="00A77B99">
      <w:pPr>
        <w:pStyle w:val="FootnoteText"/>
      </w:pPr>
      <w:r>
        <w:rPr>
          <w:rStyle w:val="FootnoteReference"/>
        </w:rPr>
        <w:footnoteRef/>
      </w:r>
      <w:r>
        <w:t xml:space="preserve"> </w:t>
      </w:r>
      <w:r w:rsidRPr="00D579D1">
        <w:rPr>
          <w:color w:val="212529"/>
        </w:rPr>
        <w:t>Winfried Corduan, </w:t>
      </w:r>
      <w:r w:rsidRPr="00D579D1">
        <w:rPr>
          <w:rStyle w:val="Emphasis"/>
          <w:color w:val="212529"/>
        </w:rPr>
        <w:t>Neighboring Faiths: A Christian Introduction to World Religions</w:t>
      </w:r>
      <w:r w:rsidRPr="00D579D1">
        <w:rPr>
          <w:color w:val="212529"/>
        </w:rPr>
        <w:t>. 2nd ed. (Downers Grove: InterVarsity Press, 2012),</w:t>
      </w:r>
      <w:r>
        <w:rPr>
          <w:color w:val="212529"/>
        </w:rPr>
        <w:t xml:space="preserve"> 176</w:t>
      </w:r>
    </w:p>
  </w:footnote>
  <w:footnote w:id="2">
    <w:p w14:paraId="38FCE961" w14:textId="77777777" w:rsidR="00A77B99" w:rsidRDefault="00A77B99" w:rsidP="00A77B99">
      <w:pPr>
        <w:pStyle w:val="FootnoteText"/>
      </w:pPr>
      <w:r>
        <w:rPr>
          <w:rStyle w:val="FootnoteReference"/>
        </w:rPr>
        <w:footnoteRef/>
      </w:r>
      <w:r>
        <w:t xml:space="preserve"> </w:t>
      </w:r>
      <w:r>
        <w:rPr>
          <w:color w:val="212529"/>
        </w:rPr>
        <w:t>Ibid.,</w:t>
      </w:r>
      <w:r w:rsidRPr="00D579D1">
        <w:rPr>
          <w:color w:val="212529"/>
        </w:rPr>
        <w:t xml:space="preserve"> </w:t>
      </w:r>
      <w:r>
        <w:rPr>
          <w:color w:val="212529"/>
        </w:rPr>
        <w:t>175.</w:t>
      </w:r>
    </w:p>
  </w:footnote>
  <w:footnote w:id="3">
    <w:p w14:paraId="5AE8E912" w14:textId="77777777" w:rsidR="00A77B99" w:rsidRDefault="00A77B99" w:rsidP="00A77B99">
      <w:pPr>
        <w:pStyle w:val="FootnoteText"/>
      </w:pPr>
      <w:r>
        <w:rPr>
          <w:rStyle w:val="FootnoteReference"/>
        </w:rPr>
        <w:footnoteRef/>
      </w:r>
      <w:r>
        <w:t xml:space="preserve"> Ibid., 177.</w:t>
      </w:r>
    </w:p>
  </w:footnote>
  <w:footnote w:id="4">
    <w:p w14:paraId="7459661E" w14:textId="77777777" w:rsidR="00A77B99" w:rsidRDefault="00A77B99" w:rsidP="00A77B99">
      <w:pPr>
        <w:pStyle w:val="FootnoteText"/>
      </w:pPr>
      <w:r>
        <w:rPr>
          <w:rStyle w:val="FootnoteReference"/>
        </w:rPr>
        <w:footnoteRef/>
      </w:r>
      <w:r>
        <w:t xml:space="preserve"> Ibid., 171.</w:t>
      </w:r>
    </w:p>
  </w:footnote>
  <w:footnote w:id="5">
    <w:p w14:paraId="5D84F881" w14:textId="77777777" w:rsidR="00A77B99" w:rsidRDefault="00A77B99" w:rsidP="00A77B99">
      <w:pPr>
        <w:pStyle w:val="FootnoteText"/>
      </w:pPr>
      <w:r>
        <w:rPr>
          <w:rStyle w:val="FootnoteReference"/>
        </w:rPr>
        <w:footnoteRef/>
      </w:r>
      <w:r>
        <w:t xml:space="preserve"> Ibid., 172.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30"/>
    <w:rsid w:val="00125536"/>
    <w:rsid w:val="001F4E08"/>
    <w:rsid w:val="0027566F"/>
    <w:rsid w:val="00414A9C"/>
    <w:rsid w:val="00454E4F"/>
    <w:rsid w:val="004F65AE"/>
    <w:rsid w:val="006B022C"/>
    <w:rsid w:val="00713073"/>
    <w:rsid w:val="007E7B40"/>
    <w:rsid w:val="00901A30"/>
    <w:rsid w:val="00955530"/>
    <w:rsid w:val="009F6F41"/>
    <w:rsid w:val="00A563C7"/>
    <w:rsid w:val="00A77B99"/>
    <w:rsid w:val="00B2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9BF12"/>
  <w15:chartTrackingRefBased/>
  <w15:docId w15:val="{7F003A78-843D-4BAC-9FCE-0EA6F89A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01A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1A30"/>
    <w:rPr>
      <w:sz w:val="20"/>
      <w:szCs w:val="20"/>
    </w:rPr>
  </w:style>
  <w:style w:type="character" w:styleId="FootnoteReference">
    <w:name w:val="footnote reference"/>
    <w:basedOn w:val="DefaultParagraphFont"/>
    <w:uiPriority w:val="99"/>
    <w:semiHidden/>
    <w:unhideWhenUsed/>
    <w:rsid w:val="00901A30"/>
    <w:rPr>
      <w:vertAlign w:val="superscript"/>
    </w:rPr>
  </w:style>
  <w:style w:type="character" w:styleId="Emphasis">
    <w:name w:val="Emphasis"/>
    <w:basedOn w:val="DefaultParagraphFont"/>
    <w:uiPriority w:val="20"/>
    <w:qFormat/>
    <w:rsid w:val="00901A30"/>
    <w:rPr>
      <w:i/>
      <w:iCs/>
    </w:rPr>
  </w:style>
  <w:style w:type="paragraph" w:styleId="NormalWeb">
    <w:name w:val="Normal (Web)"/>
    <w:basedOn w:val="Normal"/>
    <w:uiPriority w:val="99"/>
    <w:unhideWhenUsed/>
    <w:rsid w:val="00A77B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77B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40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4A325E0-BD31-4D2B-818D-E379D858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2021-07-15T21:04:00Z</dcterms:created>
  <dcterms:modified xsi:type="dcterms:W3CDTF">2021-07-15T23:29:00Z</dcterms:modified>
</cp:coreProperties>
</file>