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AB24E" w14:textId="182EF556" w:rsidR="00953897" w:rsidRPr="00953897" w:rsidRDefault="00953897" w:rsidP="00FF4E52">
      <w:pPr>
        <w:spacing w:before="240" w:after="0" w:line="240" w:lineRule="auto"/>
        <w:rPr>
          <w:rFonts w:ascii="Times New Roman" w:eastAsia="Times New Roman" w:hAnsi="Times New Roman" w:cs="Times New Roman"/>
          <w:color w:val="0E101A"/>
          <w:sz w:val="24"/>
          <w:szCs w:val="24"/>
        </w:rPr>
      </w:pPr>
      <w:r w:rsidRPr="00953897">
        <w:rPr>
          <w:rFonts w:ascii="Times New Roman" w:eastAsia="Times New Roman" w:hAnsi="Times New Roman" w:cs="Times New Roman"/>
          <w:color w:val="0E101A"/>
          <w:sz w:val="24"/>
          <w:szCs w:val="24"/>
        </w:rPr>
        <w:t>Buddhism is one of the largest religions in the world. With approximately 400 million followers, Buddhism encompasses a multifariousness of beliefs, traditions, and spiritual practices of its founder Siddhartha Gautama</w:t>
      </w:r>
      <w:r w:rsidR="00FF4E52">
        <w:rPr>
          <w:rFonts w:ascii="Times New Roman" w:eastAsia="Times New Roman" w:hAnsi="Times New Roman" w:cs="Times New Roman"/>
          <w:color w:val="0E101A"/>
          <w:sz w:val="24"/>
          <w:szCs w:val="24"/>
        </w:rPr>
        <w:t xml:space="preserve">, </w:t>
      </w:r>
      <w:r w:rsidRPr="00953897">
        <w:rPr>
          <w:rFonts w:ascii="Times New Roman" w:eastAsia="Times New Roman" w:hAnsi="Times New Roman" w:cs="Times New Roman"/>
          <w:color w:val="0E101A"/>
          <w:sz w:val="24"/>
          <w:szCs w:val="24"/>
        </w:rPr>
        <w:t>also known as Buddha.</w:t>
      </w:r>
      <w:r w:rsidR="002B18EF">
        <w:rPr>
          <w:rStyle w:val="FootnoteReference"/>
          <w:rFonts w:ascii="Times New Roman" w:hAnsi="Times New Roman" w:cs="Times New Roman"/>
          <w:sz w:val="24"/>
          <w:szCs w:val="24"/>
        </w:rPr>
        <w:footnoteReference w:id="1"/>
      </w:r>
      <w:r w:rsidRPr="00953897">
        <w:rPr>
          <w:rFonts w:ascii="Times New Roman" w:eastAsia="Times New Roman" w:hAnsi="Times New Roman" w:cs="Times New Roman"/>
          <w:color w:val="0E101A"/>
          <w:sz w:val="24"/>
          <w:szCs w:val="24"/>
        </w:rPr>
        <w:t> Traditional legend avers that Buddhism began around the sixth century. Buddha was born in the Hindu royal caste system in northeastern India and found enlightenment after meditation under a fig tree. Though there is no reliable information leading to this occurrence, these legends claim that he grew up practicing the Brahmic religion.</w:t>
      </w:r>
      <w:r w:rsidR="002B18EF">
        <w:rPr>
          <w:rStyle w:val="FootnoteReference"/>
          <w:rFonts w:ascii="Times New Roman" w:hAnsi="Times New Roman" w:cs="Times New Roman"/>
          <w:sz w:val="24"/>
          <w:szCs w:val="24"/>
        </w:rPr>
        <w:footnoteReference w:id="2"/>
      </w:r>
      <w:r w:rsidRPr="00953897">
        <w:rPr>
          <w:rFonts w:ascii="Times New Roman" w:eastAsia="Times New Roman" w:hAnsi="Times New Roman" w:cs="Times New Roman"/>
          <w:color w:val="0E101A"/>
          <w:sz w:val="24"/>
          <w:szCs w:val="24"/>
        </w:rPr>
        <w:t> After some time, he became very curious about life. As a result, he left the confines of the palace and journeyed to the countryside. It is here that he saw the sufferings of people. In the process, he forsook his Brahmic religion.</w:t>
      </w:r>
      <w:r w:rsidR="002B18EF" w:rsidRPr="006F2FE2">
        <w:rPr>
          <w:rStyle w:val="FootnoteReference"/>
          <w:rFonts w:ascii="Times New Roman" w:hAnsi="Times New Roman" w:cs="Times New Roman"/>
          <w:sz w:val="24"/>
          <w:szCs w:val="24"/>
        </w:rPr>
        <w:footnoteReference w:id="3"/>
      </w:r>
      <w:r w:rsidRPr="00953897">
        <w:rPr>
          <w:rFonts w:ascii="Times New Roman" w:eastAsia="Times New Roman" w:hAnsi="Times New Roman" w:cs="Times New Roman"/>
          <w:color w:val="0E101A"/>
          <w:sz w:val="24"/>
          <w:szCs w:val="24"/>
        </w:rPr>
        <w:t> According to Winfried Corduan, “he hoped that he might come to a realization of how to find permanence in this world of constant change, where suffering was the inevitable outcome.”</w:t>
      </w:r>
      <w:r w:rsidR="002B18EF" w:rsidRPr="006F2FE2">
        <w:rPr>
          <w:rStyle w:val="FootnoteReference"/>
          <w:rFonts w:ascii="Times New Roman" w:hAnsi="Times New Roman" w:cs="Times New Roman"/>
          <w:sz w:val="24"/>
          <w:szCs w:val="24"/>
        </w:rPr>
        <w:footnoteReference w:id="4"/>
      </w:r>
      <w:r w:rsidRPr="00953897">
        <w:rPr>
          <w:rFonts w:ascii="Times New Roman" w:eastAsia="Times New Roman" w:hAnsi="Times New Roman" w:cs="Times New Roman"/>
          <w:color w:val="0E101A"/>
          <w:sz w:val="24"/>
          <w:szCs w:val="24"/>
        </w:rPr>
        <w:t> </w:t>
      </w:r>
    </w:p>
    <w:p w14:paraId="44175F2F" w14:textId="100889E9" w:rsidR="00953897" w:rsidRPr="00953897" w:rsidRDefault="00FF4E52" w:rsidP="00FF4E52">
      <w:pPr>
        <w:spacing w:before="240" w:after="0"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On teachings, </w:t>
      </w:r>
      <w:r w:rsidR="00953897" w:rsidRPr="00953897">
        <w:rPr>
          <w:rFonts w:ascii="Times New Roman" w:eastAsia="Times New Roman" w:hAnsi="Times New Roman" w:cs="Times New Roman"/>
          <w:color w:val="0E101A"/>
          <w:sz w:val="24"/>
          <w:szCs w:val="24"/>
        </w:rPr>
        <w:t>Buddhism revolves around four basic tenets, the four noble truths. The first noble truth states that to live is to suffer. The second, suffering is caused by attachment. Third, to eliminate suffering, one must eliminate attachment. And finally, one can eliminate attachment by following the eightfold path. The eightfold path is the way to salvation or nirvana (a state of bliss beyond description, where there is no suffering or attachment).</w:t>
      </w:r>
      <w:r w:rsidR="002B18EF" w:rsidRPr="006F2FE2">
        <w:rPr>
          <w:rStyle w:val="FootnoteReference"/>
          <w:rFonts w:ascii="Times New Roman" w:hAnsi="Times New Roman" w:cs="Times New Roman"/>
          <w:sz w:val="24"/>
          <w:szCs w:val="24"/>
        </w:rPr>
        <w:footnoteReference w:id="5"/>
      </w:r>
      <w:r w:rsidR="00953897" w:rsidRPr="00953897">
        <w:rPr>
          <w:rFonts w:ascii="Times New Roman" w:eastAsia="Times New Roman" w:hAnsi="Times New Roman" w:cs="Times New Roman"/>
          <w:color w:val="0E101A"/>
          <w:sz w:val="24"/>
          <w:szCs w:val="24"/>
        </w:rPr>
        <w:t> Like Christianity, Buddhism seems to offer a solution to life’s problems. Winfried Corduan observes that all religions (in fact, all people who have thought much about life) recognize the frustrations in life and are looking for some way out, whether through technique, an attitude, or the hope of a better world to come.</w:t>
      </w:r>
      <w:r w:rsidR="002B18EF">
        <w:rPr>
          <w:rStyle w:val="FootnoteReference"/>
          <w:rFonts w:ascii="Times New Roman" w:hAnsi="Times New Roman" w:cs="Times New Roman"/>
          <w:sz w:val="24"/>
          <w:szCs w:val="24"/>
        </w:rPr>
        <w:footnoteReference w:id="6"/>
      </w:r>
    </w:p>
    <w:p w14:paraId="4FAB69DC" w14:textId="442973A8" w:rsidR="00953897" w:rsidRPr="00953897" w:rsidRDefault="00953897" w:rsidP="00FF4E52">
      <w:pPr>
        <w:spacing w:before="240" w:after="0" w:line="240" w:lineRule="auto"/>
        <w:rPr>
          <w:rFonts w:ascii="Times New Roman" w:eastAsia="Times New Roman" w:hAnsi="Times New Roman" w:cs="Times New Roman"/>
          <w:color w:val="0E101A"/>
          <w:sz w:val="24"/>
          <w:szCs w:val="24"/>
        </w:rPr>
      </w:pPr>
      <w:r w:rsidRPr="00953897">
        <w:rPr>
          <w:rFonts w:ascii="Times New Roman" w:eastAsia="Times New Roman" w:hAnsi="Times New Roman" w:cs="Times New Roman"/>
          <w:color w:val="0E101A"/>
          <w:sz w:val="24"/>
          <w:szCs w:val="24"/>
        </w:rPr>
        <w:t>That said, there are many differences between Buddhism and Christianity. To mention a few first and foremost is the concept of God. Christians believe in a Triune God. Buddhists, on the other hand, do not believe in any God. Though some worship Buddha, most of them do not acknowledge any particular God.</w:t>
      </w:r>
      <w:r w:rsidR="002B18EF" w:rsidRPr="006F2FE2">
        <w:rPr>
          <w:rStyle w:val="FootnoteReference"/>
          <w:rFonts w:ascii="Times New Roman" w:hAnsi="Times New Roman" w:cs="Times New Roman"/>
          <w:sz w:val="24"/>
          <w:szCs w:val="24"/>
        </w:rPr>
        <w:footnoteReference w:id="7"/>
      </w:r>
      <w:r w:rsidRPr="00953897">
        <w:rPr>
          <w:rFonts w:ascii="Times New Roman" w:eastAsia="Times New Roman" w:hAnsi="Times New Roman" w:cs="Times New Roman"/>
          <w:color w:val="0E101A"/>
          <w:sz w:val="24"/>
          <w:szCs w:val="24"/>
        </w:rPr>
        <w:t> For Buddhists, the focus is on self and not God. Secondly, Buddhism posits the problem of man is suffering.</w:t>
      </w:r>
      <w:r w:rsidR="002B18EF">
        <w:rPr>
          <w:rStyle w:val="FootnoteReference"/>
          <w:rFonts w:ascii="Times New Roman" w:hAnsi="Times New Roman" w:cs="Times New Roman"/>
          <w:sz w:val="24"/>
          <w:szCs w:val="24"/>
        </w:rPr>
        <w:footnoteReference w:id="8"/>
      </w:r>
      <w:r w:rsidRPr="00953897">
        <w:rPr>
          <w:rFonts w:ascii="Times New Roman" w:eastAsia="Times New Roman" w:hAnsi="Times New Roman" w:cs="Times New Roman"/>
          <w:color w:val="0E101A"/>
          <w:sz w:val="24"/>
          <w:szCs w:val="24"/>
        </w:rPr>
        <w:t xml:space="preserve"> On the contrary, Christianity </w:t>
      </w:r>
      <w:r w:rsidR="00FF4E52">
        <w:rPr>
          <w:rFonts w:ascii="Times New Roman" w:eastAsia="Times New Roman" w:hAnsi="Times New Roman" w:cs="Times New Roman"/>
          <w:color w:val="0E101A"/>
          <w:sz w:val="24"/>
          <w:szCs w:val="24"/>
        </w:rPr>
        <w:t>asserts</w:t>
      </w:r>
      <w:r w:rsidRPr="00953897">
        <w:rPr>
          <w:rFonts w:ascii="Times New Roman" w:eastAsia="Times New Roman" w:hAnsi="Times New Roman" w:cs="Times New Roman"/>
          <w:color w:val="0E101A"/>
          <w:sz w:val="24"/>
          <w:szCs w:val="24"/>
        </w:rPr>
        <w:t xml:space="preserve"> that man’s problem is sin.</w:t>
      </w:r>
      <w:r w:rsidR="002B18EF">
        <w:rPr>
          <w:rStyle w:val="FootnoteReference"/>
          <w:rFonts w:ascii="Times New Roman" w:hAnsi="Times New Roman" w:cs="Times New Roman"/>
          <w:sz w:val="24"/>
          <w:szCs w:val="24"/>
        </w:rPr>
        <w:footnoteReference w:id="9"/>
      </w:r>
      <w:r w:rsidRPr="00953897">
        <w:rPr>
          <w:rFonts w:ascii="Times New Roman" w:eastAsia="Times New Roman" w:hAnsi="Times New Roman" w:cs="Times New Roman"/>
          <w:color w:val="0E101A"/>
          <w:sz w:val="24"/>
          <w:szCs w:val="24"/>
        </w:rPr>
        <w:t xml:space="preserve"> Thirdly, Buddhism tells us to extinguish our desires, whereas Christianity encourages us to redirect our desires. According to Buddhism, desire is the source of all </w:t>
      </w:r>
      <w:r w:rsidRPr="00953897">
        <w:rPr>
          <w:rFonts w:ascii="Times New Roman" w:eastAsia="Times New Roman" w:hAnsi="Times New Roman" w:cs="Times New Roman"/>
          <w:color w:val="0E101A"/>
          <w:sz w:val="24"/>
          <w:szCs w:val="24"/>
        </w:rPr>
        <w:lastRenderedPageBreak/>
        <w:t>suffering. Thus, to eliminate suffering, we must eliminate all desire.</w:t>
      </w:r>
      <w:r w:rsidR="002B18EF" w:rsidRPr="006F2FE2">
        <w:rPr>
          <w:rStyle w:val="FootnoteReference"/>
          <w:rFonts w:ascii="Times New Roman" w:hAnsi="Times New Roman" w:cs="Times New Roman"/>
          <w:sz w:val="24"/>
          <w:szCs w:val="24"/>
        </w:rPr>
        <w:footnoteReference w:id="10"/>
      </w:r>
      <w:r w:rsidRPr="00953897">
        <w:rPr>
          <w:rFonts w:ascii="Times New Roman" w:eastAsia="Times New Roman" w:hAnsi="Times New Roman" w:cs="Times New Roman"/>
          <w:color w:val="0E101A"/>
          <w:sz w:val="24"/>
          <w:szCs w:val="24"/>
        </w:rPr>
        <w:t> On the other hand, in Christianity, desire is a beautiful thing. Finally, perhaps the most defining difference between Christianity and Buddhism is that Christianity bases its salvation on the finished works of the cross. Jesus has paid the penalty for sins (1 Cor 6:20</w:t>
      </w:r>
      <w:r w:rsidR="00FF4E52">
        <w:rPr>
          <w:rFonts w:ascii="Times New Roman" w:eastAsia="Times New Roman" w:hAnsi="Times New Roman" w:cs="Times New Roman"/>
          <w:color w:val="0E101A"/>
          <w:sz w:val="24"/>
          <w:szCs w:val="24"/>
        </w:rPr>
        <w:t>, NIV</w:t>
      </w:r>
      <w:r w:rsidRPr="00953897">
        <w:rPr>
          <w:rFonts w:ascii="Times New Roman" w:eastAsia="Times New Roman" w:hAnsi="Times New Roman" w:cs="Times New Roman"/>
          <w:color w:val="0E101A"/>
          <w:sz w:val="24"/>
          <w:szCs w:val="24"/>
        </w:rPr>
        <w:t>).</w:t>
      </w:r>
      <w:r w:rsidR="00FF4E52" w:rsidRPr="006F2FE2">
        <w:rPr>
          <w:rStyle w:val="FootnoteReference"/>
          <w:rFonts w:ascii="Times New Roman" w:hAnsi="Times New Roman" w:cs="Times New Roman"/>
          <w:color w:val="000000"/>
          <w:sz w:val="24"/>
          <w:szCs w:val="24"/>
          <w:shd w:val="clear" w:color="auto" w:fill="FFFFFF"/>
        </w:rPr>
        <w:footnoteReference w:id="11"/>
      </w:r>
      <w:r w:rsidRPr="00953897">
        <w:rPr>
          <w:rFonts w:ascii="Times New Roman" w:eastAsia="Times New Roman" w:hAnsi="Times New Roman" w:cs="Times New Roman"/>
          <w:color w:val="0E101A"/>
          <w:sz w:val="24"/>
          <w:szCs w:val="24"/>
        </w:rPr>
        <w:t xml:space="preserve"> As Paul would say, “For it is by grace you have been saved, through faith—and this is not from yourselves, it is the gift of God—</w:t>
      </w:r>
      <w:r w:rsidRPr="00953897">
        <w:rPr>
          <w:rFonts w:ascii="Times New Roman" w:eastAsia="Times New Roman" w:hAnsi="Times New Roman" w:cs="Times New Roman"/>
          <w:b/>
          <w:bCs/>
          <w:color w:val="0E101A"/>
          <w:sz w:val="24"/>
          <w:szCs w:val="24"/>
        </w:rPr>
        <w:t> </w:t>
      </w:r>
      <w:r w:rsidRPr="00953897">
        <w:rPr>
          <w:rFonts w:ascii="Times New Roman" w:eastAsia="Times New Roman" w:hAnsi="Times New Roman" w:cs="Times New Roman"/>
          <w:color w:val="0E101A"/>
          <w:sz w:val="24"/>
          <w:szCs w:val="24"/>
        </w:rPr>
        <w:t>not by works, so that no one can boast” (Eph 2:8-9). In contrast, Buddhism is based on self-salvation. According to the Buddha, "the goal of ridding oneself of attachment can be attained only through a rigorous life of concentrated effort better known as the eightfold path."</w:t>
      </w:r>
      <w:r w:rsidR="002B18EF" w:rsidRPr="006F2FE2">
        <w:rPr>
          <w:rStyle w:val="FootnoteReference"/>
          <w:rFonts w:ascii="Times New Roman" w:hAnsi="Times New Roman" w:cs="Times New Roman"/>
          <w:color w:val="000000"/>
          <w:sz w:val="24"/>
          <w:szCs w:val="24"/>
          <w:shd w:val="clear" w:color="auto" w:fill="FFFFFF"/>
        </w:rPr>
        <w:footnoteReference w:id="12"/>
      </w:r>
    </w:p>
    <w:p w14:paraId="7E090A50" w14:textId="191BE586" w:rsidR="00953897" w:rsidRPr="00953897" w:rsidRDefault="00953897" w:rsidP="00FF4E52">
      <w:pPr>
        <w:spacing w:before="240" w:after="0" w:line="240" w:lineRule="auto"/>
        <w:rPr>
          <w:rFonts w:ascii="Times New Roman" w:eastAsia="Times New Roman" w:hAnsi="Times New Roman" w:cs="Times New Roman"/>
          <w:color w:val="0E101A"/>
          <w:sz w:val="24"/>
          <w:szCs w:val="24"/>
        </w:rPr>
      </w:pPr>
      <w:r w:rsidRPr="00953897">
        <w:rPr>
          <w:rFonts w:ascii="Times New Roman" w:eastAsia="Times New Roman" w:hAnsi="Times New Roman" w:cs="Times New Roman"/>
          <w:color w:val="0E101A"/>
          <w:sz w:val="24"/>
          <w:szCs w:val="24"/>
        </w:rPr>
        <w:t>Sharing the gospel to a Buddhist is something that I have never done. Though I have ever interacted with a Buddhist, I cannot say that I shared the gospel with her. Nevertheless, to witness to a Buddhist, first, it requires that the missionary knows the school of thought the Buddhist subscribes to. The reason is that Buddhism includes an enormous range of diversity in belief and practice.</w:t>
      </w:r>
      <w:r w:rsidR="00FF4E52" w:rsidRPr="006F2FE2">
        <w:rPr>
          <w:rStyle w:val="FootnoteReference"/>
          <w:rFonts w:ascii="Times New Roman" w:hAnsi="Times New Roman" w:cs="Times New Roman"/>
          <w:sz w:val="24"/>
          <w:szCs w:val="24"/>
        </w:rPr>
        <w:footnoteReference w:id="13"/>
      </w:r>
      <w:r w:rsidRPr="00953897">
        <w:rPr>
          <w:rFonts w:ascii="Times New Roman" w:eastAsia="Times New Roman" w:hAnsi="Times New Roman" w:cs="Times New Roman"/>
          <w:color w:val="0E101A"/>
          <w:sz w:val="24"/>
          <w:szCs w:val="24"/>
        </w:rPr>
        <w:t> If that is not possible, then Winfried Corduan avers that knowing what Buddhists share in common is very critical. All Buddhists are united when it comes to a two-fold orientation toward existence.</w:t>
      </w:r>
      <w:r w:rsidR="00FF4E52" w:rsidRPr="006F2FE2">
        <w:rPr>
          <w:rStyle w:val="FootnoteReference"/>
          <w:rFonts w:ascii="Times New Roman" w:hAnsi="Times New Roman" w:cs="Times New Roman"/>
          <w:sz w:val="24"/>
          <w:szCs w:val="24"/>
        </w:rPr>
        <w:footnoteReference w:id="14"/>
      </w:r>
      <w:r w:rsidRPr="00953897">
        <w:rPr>
          <w:rFonts w:ascii="Times New Roman" w:eastAsia="Times New Roman" w:hAnsi="Times New Roman" w:cs="Times New Roman"/>
          <w:color w:val="0E101A"/>
          <w:sz w:val="24"/>
          <w:szCs w:val="24"/>
        </w:rPr>
        <w:t>  Buddhists believe that the object of meditation is to focus on the total impermanence of all existence and thereby to become conscious of your own nonexistence.</w:t>
      </w:r>
      <w:r w:rsidR="00FF4E52" w:rsidRPr="006F2FE2">
        <w:rPr>
          <w:rStyle w:val="FootnoteReference"/>
          <w:rFonts w:ascii="Times New Roman" w:hAnsi="Times New Roman" w:cs="Times New Roman"/>
          <w:sz w:val="24"/>
          <w:szCs w:val="24"/>
        </w:rPr>
        <w:footnoteReference w:id="15"/>
      </w:r>
      <w:r w:rsidR="00FF4E52">
        <w:rPr>
          <w:rFonts w:ascii="Times New Roman" w:eastAsia="Times New Roman" w:hAnsi="Times New Roman" w:cs="Times New Roman"/>
          <w:color w:val="0E101A"/>
          <w:sz w:val="24"/>
          <w:szCs w:val="24"/>
        </w:rPr>
        <w:t xml:space="preserve"> T</w:t>
      </w:r>
      <w:r w:rsidRPr="00953897">
        <w:rPr>
          <w:rFonts w:ascii="Times New Roman" w:eastAsia="Times New Roman" w:hAnsi="Times New Roman" w:cs="Times New Roman"/>
          <w:color w:val="0E101A"/>
          <w:sz w:val="24"/>
          <w:szCs w:val="24"/>
        </w:rPr>
        <w:t>hus and as Paul M. Gould et al assert, Christians ought to help Buddhists see that the self is real and in need of salvation.</w:t>
      </w:r>
      <w:r w:rsidR="00FF4E52" w:rsidRPr="006F2FE2">
        <w:rPr>
          <w:rStyle w:val="FootnoteReference"/>
          <w:rFonts w:ascii="Times New Roman" w:hAnsi="Times New Roman" w:cs="Times New Roman"/>
          <w:sz w:val="24"/>
          <w:szCs w:val="24"/>
        </w:rPr>
        <w:footnoteReference w:id="16"/>
      </w:r>
      <w:r w:rsidRPr="00953897">
        <w:rPr>
          <w:rFonts w:ascii="Times New Roman" w:eastAsia="Times New Roman" w:hAnsi="Times New Roman" w:cs="Times New Roman"/>
          <w:color w:val="0E101A"/>
          <w:sz w:val="24"/>
          <w:szCs w:val="24"/>
        </w:rPr>
        <w:t> Secondly, all Buddhists tend to unite around a point of common orientation that simply sees buddha as the solution to life’s dilemma.</w:t>
      </w:r>
      <w:r w:rsidR="00FF4E52" w:rsidRPr="006F2FE2">
        <w:rPr>
          <w:rStyle w:val="FootnoteReference"/>
          <w:rFonts w:ascii="Times New Roman" w:hAnsi="Times New Roman" w:cs="Times New Roman"/>
          <w:sz w:val="24"/>
          <w:szCs w:val="24"/>
        </w:rPr>
        <w:footnoteReference w:id="17"/>
      </w:r>
      <w:r w:rsidRPr="00953897">
        <w:rPr>
          <w:rFonts w:ascii="Times New Roman" w:eastAsia="Times New Roman" w:hAnsi="Times New Roman" w:cs="Times New Roman"/>
          <w:color w:val="0E101A"/>
          <w:sz w:val="24"/>
          <w:szCs w:val="24"/>
        </w:rPr>
        <w:t> Because of that, philosophical speculations are something that a missionary has to deal with. One way that the missionary can help a Buddhist out of their speculations is by pointing out the rich factual history that Christianity enjoys. This history culminates in the life and work of Christ, explains the origin of the religion, and regulates what may properly become a part of it.</w:t>
      </w:r>
      <w:r w:rsidR="00FF4E52" w:rsidRPr="006F2FE2">
        <w:rPr>
          <w:rStyle w:val="FootnoteReference"/>
          <w:rFonts w:ascii="Times New Roman" w:hAnsi="Times New Roman" w:cs="Times New Roman"/>
          <w:sz w:val="24"/>
          <w:szCs w:val="24"/>
        </w:rPr>
        <w:footnoteReference w:id="18"/>
      </w:r>
      <w:r w:rsidRPr="00953897">
        <w:rPr>
          <w:rFonts w:ascii="Times New Roman" w:eastAsia="Times New Roman" w:hAnsi="Times New Roman" w:cs="Times New Roman"/>
          <w:color w:val="0E101A"/>
          <w:sz w:val="24"/>
          <w:szCs w:val="24"/>
        </w:rPr>
        <w:t xml:space="preserve"> Chris </w:t>
      </w:r>
      <w:proofErr w:type="spellStart"/>
      <w:r w:rsidRPr="00953897">
        <w:rPr>
          <w:rFonts w:ascii="Times New Roman" w:eastAsia="Times New Roman" w:hAnsi="Times New Roman" w:cs="Times New Roman"/>
          <w:color w:val="0E101A"/>
          <w:sz w:val="24"/>
          <w:szCs w:val="24"/>
        </w:rPr>
        <w:t>Granakan</w:t>
      </w:r>
      <w:proofErr w:type="spellEnd"/>
      <w:r w:rsidRPr="00953897">
        <w:rPr>
          <w:rFonts w:ascii="Times New Roman" w:eastAsia="Times New Roman" w:hAnsi="Times New Roman" w:cs="Times New Roman"/>
          <w:color w:val="0E101A"/>
          <w:sz w:val="24"/>
          <w:szCs w:val="24"/>
        </w:rPr>
        <w:t xml:space="preserve"> advises that Christians have to engage the mind and show Buddhists that they do not just have transcendental meditation but that they meditate on the law of the Lord, which is substantial.</w:t>
      </w:r>
      <w:r w:rsidR="00FF4E52" w:rsidRPr="006F2FE2">
        <w:rPr>
          <w:rStyle w:val="FootnoteReference"/>
          <w:rFonts w:ascii="Times New Roman" w:hAnsi="Times New Roman" w:cs="Times New Roman"/>
          <w:sz w:val="24"/>
          <w:szCs w:val="24"/>
        </w:rPr>
        <w:footnoteReference w:id="19"/>
      </w:r>
      <w:r w:rsidRPr="00953897">
        <w:rPr>
          <w:rFonts w:ascii="Times New Roman" w:eastAsia="Times New Roman" w:hAnsi="Times New Roman" w:cs="Times New Roman"/>
          <w:color w:val="0E101A"/>
          <w:sz w:val="24"/>
          <w:szCs w:val="24"/>
        </w:rPr>
        <w:t xml:space="preserve">  Second Peter 1:16 says, “For we did not follow cleverly devised stories when we </w:t>
      </w:r>
      <w:r w:rsidRPr="00953897">
        <w:rPr>
          <w:rFonts w:ascii="Times New Roman" w:eastAsia="Times New Roman" w:hAnsi="Times New Roman" w:cs="Times New Roman"/>
          <w:color w:val="0E101A"/>
          <w:sz w:val="24"/>
          <w:szCs w:val="24"/>
        </w:rPr>
        <w:lastRenderedPageBreak/>
        <w:t>told you about the coming of our Lord Jesus Christ in power, but we were eyewitnesses of his majesty.” In closing, witnessing to a Buddhist should involve us seeking God in Prayer. Through prayer, we can ask the Holy Spirit who illuminates God’s truths to open their minds so that they can see the Savior, our Lord Jesus Christ.</w:t>
      </w:r>
    </w:p>
    <w:p w14:paraId="6094C0AB" w14:textId="77777777" w:rsidR="00953897" w:rsidRDefault="00953897" w:rsidP="00FF4E52">
      <w:pPr>
        <w:spacing w:before="240"/>
        <w:rPr>
          <w:rFonts w:ascii="Times New Roman" w:hAnsi="Times New Roman" w:cs="Times New Roman"/>
          <w:sz w:val="24"/>
          <w:szCs w:val="24"/>
        </w:rPr>
      </w:pPr>
    </w:p>
    <w:p w14:paraId="16FC8967" w14:textId="77777777" w:rsidR="00953897" w:rsidRDefault="00953897" w:rsidP="00FF4E52">
      <w:pPr>
        <w:spacing w:before="240"/>
        <w:rPr>
          <w:rFonts w:ascii="Times New Roman" w:hAnsi="Times New Roman" w:cs="Times New Roman"/>
          <w:sz w:val="24"/>
          <w:szCs w:val="24"/>
        </w:rPr>
      </w:pPr>
    </w:p>
    <w:p w14:paraId="74D8ACAA" w14:textId="3764E6FA" w:rsidR="00293DA9" w:rsidRPr="006F2FE2" w:rsidRDefault="00293DA9" w:rsidP="00FF4E52">
      <w:pPr>
        <w:spacing w:before="240"/>
        <w:rPr>
          <w:rFonts w:ascii="Times New Roman" w:hAnsi="Times New Roman" w:cs="Times New Roman"/>
          <w:sz w:val="24"/>
          <w:szCs w:val="24"/>
        </w:rPr>
      </w:pPr>
    </w:p>
    <w:p w14:paraId="073A6EC4" w14:textId="77777777" w:rsidR="00293DA9" w:rsidRPr="006F2FE2" w:rsidRDefault="00293DA9" w:rsidP="00FF4E52">
      <w:pPr>
        <w:spacing w:before="240"/>
        <w:rPr>
          <w:rFonts w:ascii="Times New Roman" w:hAnsi="Times New Roman" w:cs="Times New Roman"/>
          <w:b/>
          <w:bCs/>
          <w:sz w:val="24"/>
          <w:szCs w:val="24"/>
        </w:rPr>
      </w:pPr>
      <w:r w:rsidRPr="006F2FE2">
        <w:rPr>
          <w:rFonts w:ascii="Times New Roman" w:hAnsi="Times New Roman" w:cs="Times New Roman"/>
          <w:b/>
          <w:bCs/>
          <w:sz w:val="24"/>
          <w:szCs w:val="24"/>
        </w:rPr>
        <w:t>Bibliography</w:t>
      </w:r>
    </w:p>
    <w:p w14:paraId="10755D91" w14:textId="77777777" w:rsidR="006F2FE2" w:rsidRPr="006F2FE2" w:rsidRDefault="006F2FE2" w:rsidP="00FF4E52">
      <w:pPr>
        <w:pStyle w:val="NormalWeb"/>
        <w:shd w:val="clear" w:color="auto" w:fill="FFFFFF"/>
        <w:spacing w:before="240" w:beforeAutospacing="0" w:after="240" w:afterAutospacing="0"/>
        <w:ind w:left="720" w:hanging="720"/>
        <w:rPr>
          <w:color w:val="212529"/>
        </w:rPr>
      </w:pPr>
      <w:r w:rsidRPr="006F2FE2">
        <w:rPr>
          <w:color w:val="212529"/>
        </w:rPr>
        <w:t>Corduan, Winfried. </w:t>
      </w:r>
      <w:r w:rsidRPr="006F2FE2">
        <w:rPr>
          <w:rStyle w:val="Emphasis"/>
          <w:rFonts w:eastAsiaTheme="majorEastAsia"/>
          <w:color w:val="212529"/>
        </w:rPr>
        <w:t>Neighboring Faiths: A Christian Introduction to World Religions</w:t>
      </w:r>
      <w:r w:rsidRPr="006F2FE2">
        <w:rPr>
          <w:color w:val="212529"/>
        </w:rPr>
        <w:t>. 2nd ed. Downers Grove: InterVarsity Press, 2012.</w:t>
      </w:r>
    </w:p>
    <w:p w14:paraId="01933761" w14:textId="77777777" w:rsidR="006F2FE2" w:rsidRPr="006F2FE2" w:rsidRDefault="006F2FE2" w:rsidP="00FF4E52">
      <w:pPr>
        <w:spacing w:before="240" w:line="240" w:lineRule="auto"/>
        <w:ind w:left="720" w:hanging="720"/>
        <w:rPr>
          <w:rFonts w:ascii="Times New Roman" w:hAnsi="Times New Roman" w:cs="Times New Roman"/>
          <w:sz w:val="24"/>
          <w:szCs w:val="24"/>
        </w:rPr>
      </w:pPr>
      <w:r w:rsidRPr="006F2FE2">
        <w:rPr>
          <w:rFonts w:ascii="Times New Roman" w:hAnsi="Times New Roman" w:cs="Times New Roman"/>
          <w:sz w:val="24"/>
          <w:szCs w:val="24"/>
        </w:rPr>
        <w:t xml:space="preserve">Gould, Paul M., Travis Dickinson, and R. Keith Loftin. </w:t>
      </w:r>
      <w:r w:rsidRPr="006F2FE2">
        <w:rPr>
          <w:rFonts w:ascii="Times New Roman" w:hAnsi="Times New Roman" w:cs="Times New Roman"/>
          <w:i/>
          <w:iCs/>
          <w:sz w:val="24"/>
          <w:szCs w:val="24"/>
        </w:rPr>
        <w:t>Stand Firm: Apologetics and the Brilliance of the Gospel.</w:t>
      </w:r>
      <w:r w:rsidRPr="006F2FE2">
        <w:rPr>
          <w:rFonts w:ascii="Times New Roman" w:hAnsi="Times New Roman" w:cs="Times New Roman"/>
          <w:sz w:val="24"/>
          <w:szCs w:val="24"/>
        </w:rPr>
        <w:t xml:space="preserve"> Nashville, TN: B&amp;H Academic, 2018.</w:t>
      </w:r>
    </w:p>
    <w:p w14:paraId="07C04475" w14:textId="77777777" w:rsidR="006F2FE2" w:rsidRPr="006F2FE2" w:rsidRDefault="006F2FE2" w:rsidP="00FF4E52">
      <w:pPr>
        <w:spacing w:before="240" w:line="240" w:lineRule="auto"/>
        <w:ind w:left="720" w:hanging="720"/>
        <w:rPr>
          <w:rFonts w:ascii="Times New Roman" w:hAnsi="Times New Roman" w:cs="Times New Roman"/>
          <w:sz w:val="24"/>
          <w:szCs w:val="24"/>
        </w:rPr>
      </w:pPr>
      <w:proofErr w:type="spellStart"/>
      <w:r w:rsidRPr="006F2FE2">
        <w:rPr>
          <w:rFonts w:ascii="Times New Roman" w:hAnsi="Times New Roman" w:cs="Times New Roman"/>
          <w:sz w:val="24"/>
          <w:szCs w:val="24"/>
        </w:rPr>
        <w:t>Granakan</w:t>
      </w:r>
      <w:proofErr w:type="spellEnd"/>
      <w:r w:rsidRPr="006F2FE2">
        <w:rPr>
          <w:rFonts w:ascii="Times New Roman" w:hAnsi="Times New Roman" w:cs="Times New Roman"/>
          <w:sz w:val="24"/>
          <w:szCs w:val="24"/>
        </w:rPr>
        <w:t>, Chris. “Sharing Christ with Buddhists” (Course video in APOL 525 at Liberty University, Lynchburg, VA, July 28, 2021).</w:t>
      </w:r>
    </w:p>
    <w:p w14:paraId="32CF20A7" w14:textId="77777777" w:rsidR="009F7A2E" w:rsidRPr="006F2FE2" w:rsidRDefault="009F7A2E" w:rsidP="00FF4E52">
      <w:pPr>
        <w:pStyle w:val="NormalWeb"/>
        <w:shd w:val="clear" w:color="auto" w:fill="FFFFFF"/>
        <w:spacing w:before="240" w:beforeAutospacing="0" w:after="240" w:afterAutospacing="0"/>
        <w:ind w:left="720" w:hanging="720"/>
        <w:rPr>
          <w:color w:val="212529"/>
        </w:rPr>
      </w:pPr>
    </w:p>
    <w:sectPr w:rsidR="009F7A2E" w:rsidRPr="006F2FE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042DB" w14:textId="77777777" w:rsidR="00F327B1" w:rsidRDefault="00F327B1" w:rsidP="00AD75CF">
      <w:pPr>
        <w:spacing w:after="0" w:line="240" w:lineRule="auto"/>
      </w:pPr>
      <w:r>
        <w:separator/>
      </w:r>
    </w:p>
  </w:endnote>
  <w:endnote w:type="continuationSeparator" w:id="0">
    <w:p w14:paraId="33CBA717" w14:textId="77777777" w:rsidR="00F327B1" w:rsidRDefault="00F327B1" w:rsidP="00AD7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DAC45" w14:textId="77777777" w:rsidR="00F327B1" w:rsidRDefault="00F327B1" w:rsidP="00AD75CF">
      <w:pPr>
        <w:spacing w:after="0" w:line="240" w:lineRule="auto"/>
      </w:pPr>
      <w:r>
        <w:separator/>
      </w:r>
    </w:p>
  </w:footnote>
  <w:footnote w:type="continuationSeparator" w:id="0">
    <w:p w14:paraId="51A26B3B" w14:textId="77777777" w:rsidR="00F327B1" w:rsidRDefault="00F327B1" w:rsidP="00AD75CF">
      <w:pPr>
        <w:spacing w:after="0" w:line="240" w:lineRule="auto"/>
      </w:pPr>
      <w:r>
        <w:continuationSeparator/>
      </w:r>
    </w:p>
  </w:footnote>
  <w:footnote w:id="1">
    <w:p w14:paraId="7D6911A3" w14:textId="77777777" w:rsidR="002B18EF" w:rsidRDefault="002B18EF" w:rsidP="00FF4E52">
      <w:pPr>
        <w:pStyle w:val="FootnoteText"/>
        <w:spacing w:before="240"/>
        <w:ind w:firstLine="720"/>
      </w:pPr>
      <w:r>
        <w:rPr>
          <w:rStyle w:val="FootnoteReference"/>
        </w:rPr>
        <w:footnoteRef/>
      </w:r>
      <w:r>
        <w:t xml:space="preserve"> </w:t>
      </w:r>
      <w:r w:rsidRPr="006F2FE2">
        <w:rPr>
          <w:rFonts w:ascii="Times New Roman" w:hAnsi="Times New Roman" w:cs="Times New Roman"/>
        </w:rPr>
        <w:t xml:space="preserve">Paul M. Gould, Travis Dickinson, and R. Keith Loftin, </w:t>
      </w:r>
      <w:r w:rsidRPr="006F2FE2">
        <w:rPr>
          <w:rFonts w:ascii="Times New Roman" w:hAnsi="Times New Roman" w:cs="Times New Roman"/>
          <w:i/>
          <w:iCs/>
        </w:rPr>
        <w:t>Stand Firm: Apologetics and the Brilliance of the Gospel</w:t>
      </w:r>
      <w:r w:rsidRPr="006F2FE2">
        <w:rPr>
          <w:rFonts w:ascii="Times New Roman" w:hAnsi="Times New Roman" w:cs="Times New Roman"/>
        </w:rPr>
        <w:t xml:space="preserve"> (Nashville, TN: B&amp;H Academic, 2018), 178.</w:t>
      </w:r>
    </w:p>
  </w:footnote>
  <w:footnote w:id="2">
    <w:p w14:paraId="528DC2E6" w14:textId="77777777" w:rsidR="002B18EF" w:rsidRDefault="002B18EF" w:rsidP="00FF4E52">
      <w:pPr>
        <w:pStyle w:val="FootnoteText"/>
        <w:spacing w:before="240"/>
        <w:ind w:firstLine="720"/>
      </w:pPr>
      <w:r>
        <w:rPr>
          <w:rStyle w:val="FootnoteReference"/>
        </w:rPr>
        <w:footnoteRef/>
      </w:r>
      <w:r>
        <w:t xml:space="preserve"> Ibid., 178.</w:t>
      </w:r>
    </w:p>
  </w:footnote>
  <w:footnote w:id="3">
    <w:p w14:paraId="72DA9F90" w14:textId="77777777" w:rsidR="002B18EF" w:rsidRPr="006F2FE2" w:rsidRDefault="002B18EF" w:rsidP="00FF4E52">
      <w:pPr>
        <w:pStyle w:val="FootnoteText"/>
        <w:spacing w:before="240"/>
        <w:ind w:firstLine="720"/>
        <w:rPr>
          <w:rFonts w:ascii="Times New Roman" w:hAnsi="Times New Roman" w:cs="Times New Roman"/>
        </w:rPr>
      </w:pPr>
      <w:r>
        <w:rPr>
          <w:rStyle w:val="FootnoteReference"/>
        </w:rPr>
        <w:footnoteRef/>
      </w:r>
      <w:r w:rsidRPr="006F2FE2">
        <w:rPr>
          <w:rFonts w:ascii="Times New Roman" w:hAnsi="Times New Roman" w:cs="Times New Roman"/>
          <w:color w:val="212529"/>
        </w:rPr>
        <w:t>Winfried Corduan, </w:t>
      </w:r>
      <w:r w:rsidRPr="006F2FE2">
        <w:rPr>
          <w:rStyle w:val="Emphasis"/>
          <w:rFonts w:ascii="Times New Roman" w:hAnsi="Times New Roman" w:cs="Times New Roman"/>
          <w:color w:val="212529"/>
        </w:rPr>
        <w:t>Neighboring Faiths: A Christian Introduction to World Religions</w:t>
      </w:r>
      <w:r w:rsidRPr="006F2FE2">
        <w:rPr>
          <w:rFonts w:ascii="Times New Roman" w:hAnsi="Times New Roman" w:cs="Times New Roman"/>
          <w:color w:val="212529"/>
        </w:rPr>
        <w:t>. 2nd ed. (Downers Grove: InterVarsity Press, 2012), 315.</w:t>
      </w:r>
    </w:p>
  </w:footnote>
  <w:footnote w:id="4">
    <w:p w14:paraId="196E03CF" w14:textId="77777777" w:rsidR="002B18EF" w:rsidRPr="006F2FE2" w:rsidRDefault="002B18EF" w:rsidP="00FF4E52">
      <w:pPr>
        <w:pStyle w:val="FootnoteText"/>
        <w:spacing w:before="240"/>
        <w:ind w:firstLine="720"/>
        <w:rPr>
          <w:rFonts w:ascii="Times New Roman" w:hAnsi="Times New Roman" w:cs="Times New Roman"/>
        </w:rPr>
      </w:pPr>
      <w:r w:rsidRPr="006F2FE2">
        <w:rPr>
          <w:rStyle w:val="FootnoteReference"/>
          <w:rFonts w:ascii="Times New Roman" w:hAnsi="Times New Roman" w:cs="Times New Roman"/>
        </w:rPr>
        <w:footnoteRef/>
      </w:r>
      <w:r w:rsidRPr="006F2FE2">
        <w:rPr>
          <w:rFonts w:ascii="Times New Roman" w:hAnsi="Times New Roman" w:cs="Times New Roman"/>
        </w:rPr>
        <w:t xml:space="preserve"> Ibid., 316.</w:t>
      </w:r>
    </w:p>
  </w:footnote>
  <w:footnote w:id="5">
    <w:p w14:paraId="6BC5D4E0" w14:textId="77777777" w:rsidR="002B18EF" w:rsidRPr="006F2FE2" w:rsidRDefault="002B18EF" w:rsidP="00FF4E52">
      <w:pPr>
        <w:pStyle w:val="FootnoteText"/>
        <w:spacing w:before="240"/>
        <w:ind w:firstLine="720"/>
        <w:rPr>
          <w:rFonts w:ascii="Times New Roman" w:hAnsi="Times New Roman" w:cs="Times New Roman"/>
        </w:rPr>
      </w:pPr>
      <w:r w:rsidRPr="006F2FE2">
        <w:rPr>
          <w:rStyle w:val="FootnoteReference"/>
          <w:rFonts w:ascii="Times New Roman" w:hAnsi="Times New Roman" w:cs="Times New Roman"/>
        </w:rPr>
        <w:footnoteRef/>
      </w:r>
      <w:r w:rsidRPr="006F2FE2">
        <w:rPr>
          <w:rFonts w:ascii="Times New Roman" w:hAnsi="Times New Roman" w:cs="Times New Roman"/>
        </w:rPr>
        <w:t xml:space="preserve"> Gould, </w:t>
      </w:r>
      <w:r w:rsidRPr="006F2FE2">
        <w:rPr>
          <w:rFonts w:ascii="Times New Roman" w:hAnsi="Times New Roman" w:cs="Times New Roman"/>
          <w:i/>
          <w:iCs/>
        </w:rPr>
        <w:t>Stand Firm</w:t>
      </w:r>
      <w:r w:rsidRPr="006F2FE2">
        <w:rPr>
          <w:rFonts w:ascii="Times New Roman" w:hAnsi="Times New Roman" w:cs="Times New Roman"/>
        </w:rPr>
        <w:t>, 178.</w:t>
      </w:r>
    </w:p>
  </w:footnote>
  <w:footnote w:id="6">
    <w:p w14:paraId="30EB744A" w14:textId="77777777" w:rsidR="002B18EF" w:rsidRDefault="002B18EF" w:rsidP="00FF4E52">
      <w:pPr>
        <w:pStyle w:val="FootnoteText"/>
        <w:spacing w:before="240"/>
        <w:ind w:firstLine="720"/>
      </w:pPr>
      <w:r>
        <w:rPr>
          <w:rStyle w:val="FootnoteReference"/>
        </w:rPr>
        <w:footnoteRef/>
      </w:r>
      <w:r>
        <w:t xml:space="preserve"> </w:t>
      </w:r>
      <w:r w:rsidRPr="006F2FE2">
        <w:rPr>
          <w:rFonts w:ascii="Times New Roman" w:hAnsi="Times New Roman" w:cs="Times New Roman"/>
          <w:color w:val="212529"/>
        </w:rPr>
        <w:t>Corduan, </w:t>
      </w:r>
      <w:r w:rsidRPr="006F2FE2">
        <w:rPr>
          <w:rStyle w:val="Emphasis"/>
          <w:rFonts w:ascii="Times New Roman" w:hAnsi="Times New Roman" w:cs="Times New Roman"/>
          <w:color w:val="212529"/>
        </w:rPr>
        <w:t xml:space="preserve">Neighboring Faiths, </w:t>
      </w:r>
      <w:r w:rsidRPr="006F2FE2">
        <w:rPr>
          <w:rStyle w:val="Emphasis"/>
          <w:rFonts w:ascii="Times New Roman" w:hAnsi="Times New Roman" w:cs="Times New Roman"/>
          <w:i w:val="0"/>
          <w:iCs w:val="0"/>
          <w:color w:val="212529"/>
        </w:rPr>
        <w:t>3</w:t>
      </w:r>
      <w:r>
        <w:rPr>
          <w:rStyle w:val="Emphasis"/>
          <w:rFonts w:ascii="Times New Roman" w:hAnsi="Times New Roman" w:cs="Times New Roman"/>
          <w:i w:val="0"/>
          <w:iCs w:val="0"/>
          <w:color w:val="212529"/>
        </w:rPr>
        <w:t>53.</w:t>
      </w:r>
    </w:p>
  </w:footnote>
  <w:footnote w:id="7">
    <w:p w14:paraId="6E21AC3A" w14:textId="77777777" w:rsidR="002B18EF" w:rsidRPr="006F2FE2" w:rsidRDefault="002B18EF" w:rsidP="00FF4E52">
      <w:pPr>
        <w:pStyle w:val="FootnoteText"/>
        <w:spacing w:before="240"/>
        <w:ind w:firstLine="720"/>
        <w:rPr>
          <w:rFonts w:ascii="Times New Roman" w:hAnsi="Times New Roman" w:cs="Times New Roman"/>
        </w:rPr>
      </w:pPr>
      <w:r w:rsidRPr="006F2FE2">
        <w:rPr>
          <w:rStyle w:val="FootnoteReference"/>
          <w:rFonts w:ascii="Times New Roman" w:hAnsi="Times New Roman" w:cs="Times New Roman"/>
        </w:rPr>
        <w:footnoteRef/>
      </w:r>
      <w:r w:rsidRPr="006F2FE2">
        <w:rPr>
          <w:rFonts w:ascii="Times New Roman" w:hAnsi="Times New Roman" w:cs="Times New Roman"/>
        </w:rPr>
        <w:t xml:space="preserve"> </w:t>
      </w:r>
      <w:r w:rsidRPr="006F2FE2">
        <w:rPr>
          <w:rFonts w:ascii="Times New Roman" w:hAnsi="Times New Roman" w:cs="Times New Roman"/>
          <w:color w:val="212529"/>
        </w:rPr>
        <w:t>Corduan, </w:t>
      </w:r>
      <w:r w:rsidRPr="006F2FE2">
        <w:rPr>
          <w:rStyle w:val="Emphasis"/>
          <w:rFonts w:ascii="Times New Roman" w:hAnsi="Times New Roman" w:cs="Times New Roman"/>
          <w:color w:val="212529"/>
        </w:rPr>
        <w:t xml:space="preserve">Neighboring Faiths, </w:t>
      </w:r>
      <w:r w:rsidRPr="006F2FE2">
        <w:rPr>
          <w:rStyle w:val="Emphasis"/>
          <w:rFonts w:ascii="Times New Roman" w:hAnsi="Times New Roman" w:cs="Times New Roman"/>
          <w:i w:val="0"/>
          <w:iCs w:val="0"/>
          <w:color w:val="212529"/>
        </w:rPr>
        <w:t>325.</w:t>
      </w:r>
    </w:p>
  </w:footnote>
  <w:footnote w:id="8">
    <w:p w14:paraId="00890086" w14:textId="77777777" w:rsidR="002B18EF" w:rsidRDefault="002B18EF" w:rsidP="00FF4E52">
      <w:pPr>
        <w:pStyle w:val="FootnoteText"/>
        <w:spacing w:before="240"/>
        <w:ind w:firstLine="720"/>
      </w:pPr>
      <w:r>
        <w:rPr>
          <w:rStyle w:val="FootnoteReference"/>
        </w:rPr>
        <w:footnoteRef/>
      </w:r>
      <w:r>
        <w:t xml:space="preserve"> </w:t>
      </w:r>
      <w:r w:rsidRPr="006F2FE2">
        <w:rPr>
          <w:rFonts w:ascii="Times New Roman" w:hAnsi="Times New Roman" w:cs="Times New Roman"/>
        </w:rPr>
        <w:t xml:space="preserve">Gould, </w:t>
      </w:r>
      <w:r w:rsidRPr="006F2FE2">
        <w:rPr>
          <w:rFonts w:ascii="Times New Roman" w:hAnsi="Times New Roman" w:cs="Times New Roman"/>
          <w:i/>
          <w:iCs/>
        </w:rPr>
        <w:t>Stand Firm</w:t>
      </w:r>
      <w:r w:rsidRPr="006F2FE2">
        <w:rPr>
          <w:rFonts w:ascii="Times New Roman" w:hAnsi="Times New Roman" w:cs="Times New Roman"/>
        </w:rPr>
        <w:t>, 1</w:t>
      </w:r>
      <w:r>
        <w:rPr>
          <w:rFonts w:ascii="Times New Roman" w:hAnsi="Times New Roman" w:cs="Times New Roman"/>
        </w:rPr>
        <w:t>66.</w:t>
      </w:r>
    </w:p>
  </w:footnote>
  <w:footnote w:id="9">
    <w:p w14:paraId="37CD6207" w14:textId="77777777" w:rsidR="002B18EF" w:rsidRDefault="002B18EF" w:rsidP="00FF4E52">
      <w:pPr>
        <w:pStyle w:val="FootnoteText"/>
        <w:spacing w:before="240"/>
        <w:ind w:firstLine="720"/>
      </w:pPr>
      <w:r>
        <w:rPr>
          <w:rStyle w:val="FootnoteReference"/>
        </w:rPr>
        <w:footnoteRef/>
      </w:r>
      <w:r>
        <w:t xml:space="preserve"> Ibid., 166.</w:t>
      </w:r>
    </w:p>
  </w:footnote>
  <w:footnote w:id="10">
    <w:p w14:paraId="19E0F3A4" w14:textId="77777777" w:rsidR="002B18EF" w:rsidRPr="006F2FE2" w:rsidRDefault="002B18EF" w:rsidP="00FF4E52">
      <w:pPr>
        <w:pStyle w:val="FootnoteText"/>
        <w:spacing w:before="240"/>
        <w:ind w:firstLine="720"/>
        <w:rPr>
          <w:rFonts w:ascii="Times New Roman" w:hAnsi="Times New Roman" w:cs="Times New Roman"/>
        </w:rPr>
      </w:pPr>
      <w:r w:rsidRPr="006F2FE2">
        <w:rPr>
          <w:rStyle w:val="FootnoteReference"/>
          <w:rFonts w:ascii="Times New Roman" w:hAnsi="Times New Roman" w:cs="Times New Roman"/>
        </w:rPr>
        <w:footnoteRef/>
      </w:r>
      <w:r w:rsidRPr="006F2FE2">
        <w:rPr>
          <w:rFonts w:ascii="Times New Roman" w:hAnsi="Times New Roman" w:cs="Times New Roman"/>
        </w:rPr>
        <w:t xml:space="preserve"> Gould, </w:t>
      </w:r>
      <w:r w:rsidRPr="006F2FE2">
        <w:rPr>
          <w:rFonts w:ascii="Times New Roman" w:hAnsi="Times New Roman" w:cs="Times New Roman"/>
          <w:i/>
          <w:iCs/>
        </w:rPr>
        <w:t>Stand Firm</w:t>
      </w:r>
      <w:r w:rsidRPr="006F2FE2">
        <w:rPr>
          <w:rFonts w:ascii="Times New Roman" w:hAnsi="Times New Roman" w:cs="Times New Roman"/>
        </w:rPr>
        <w:t>, 179.</w:t>
      </w:r>
    </w:p>
  </w:footnote>
  <w:footnote w:id="11">
    <w:p w14:paraId="45150B4D" w14:textId="77777777" w:rsidR="00FF4E52" w:rsidRDefault="00FF4E52" w:rsidP="00FF4E52">
      <w:pPr>
        <w:pStyle w:val="FootnoteText"/>
        <w:spacing w:before="240"/>
        <w:ind w:firstLine="720"/>
      </w:pPr>
      <w:r w:rsidRPr="006F2FE2">
        <w:rPr>
          <w:rStyle w:val="FootnoteReference"/>
          <w:rFonts w:ascii="Times New Roman" w:hAnsi="Times New Roman" w:cs="Times New Roman"/>
        </w:rPr>
        <w:footnoteRef/>
      </w:r>
      <w:r w:rsidRPr="006F2FE2">
        <w:rPr>
          <w:rFonts w:ascii="Times New Roman" w:hAnsi="Times New Roman" w:cs="Times New Roman"/>
        </w:rPr>
        <w:t xml:space="preserve"> Unless otherwise noted, all biblical passages referenced are in the</w:t>
      </w:r>
      <w:r w:rsidRPr="004B5D5D">
        <w:rPr>
          <w:rFonts w:cs="Times New Roman"/>
        </w:rPr>
        <w:t xml:space="preserve"> </w:t>
      </w:r>
      <w:r w:rsidRPr="004B5D5D">
        <w:rPr>
          <w:rFonts w:cs="Times New Roman"/>
          <w:i/>
          <w:iCs/>
        </w:rPr>
        <w:t>New International Version</w:t>
      </w:r>
      <w:r w:rsidRPr="004B5D5D">
        <w:rPr>
          <w:rFonts w:cs="Times New Roman"/>
        </w:rPr>
        <w:t xml:space="preserve"> (Grand Rapids, MI: Zondervan, 2011).</w:t>
      </w:r>
    </w:p>
  </w:footnote>
  <w:footnote w:id="12">
    <w:p w14:paraId="4140445B" w14:textId="77777777" w:rsidR="002B18EF" w:rsidRDefault="002B18EF" w:rsidP="002B18EF">
      <w:pPr>
        <w:pStyle w:val="FootnoteText"/>
        <w:spacing w:before="240"/>
        <w:ind w:firstLine="720"/>
      </w:pPr>
      <w:r>
        <w:rPr>
          <w:rStyle w:val="FootnoteReference"/>
        </w:rPr>
        <w:footnoteRef/>
      </w:r>
      <w:r>
        <w:t xml:space="preserve"> </w:t>
      </w:r>
      <w:r w:rsidRPr="003F4CF4">
        <w:rPr>
          <w:rFonts w:ascii="Times New Roman" w:hAnsi="Times New Roman" w:cs="Times New Roman"/>
          <w:color w:val="212529"/>
        </w:rPr>
        <w:t>Corduan, </w:t>
      </w:r>
      <w:r w:rsidRPr="003F4CF4">
        <w:rPr>
          <w:rStyle w:val="Emphasis"/>
          <w:rFonts w:ascii="Times New Roman" w:hAnsi="Times New Roman" w:cs="Times New Roman"/>
          <w:color w:val="212529"/>
        </w:rPr>
        <w:t>Neighboring Faiths</w:t>
      </w:r>
      <w:r>
        <w:rPr>
          <w:rStyle w:val="Emphasis"/>
          <w:rFonts w:ascii="Times New Roman" w:hAnsi="Times New Roman" w:cs="Times New Roman"/>
          <w:color w:val="212529"/>
        </w:rPr>
        <w:t xml:space="preserve">, </w:t>
      </w:r>
      <w:r w:rsidRPr="00AD02D7">
        <w:rPr>
          <w:rStyle w:val="Emphasis"/>
          <w:rFonts w:ascii="Times New Roman" w:hAnsi="Times New Roman" w:cs="Times New Roman"/>
          <w:i w:val="0"/>
          <w:iCs w:val="0"/>
          <w:color w:val="212529"/>
        </w:rPr>
        <w:t>32</w:t>
      </w:r>
      <w:r>
        <w:rPr>
          <w:rStyle w:val="Emphasis"/>
          <w:rFonts w:ascii="Times New Roman" w:hAnsi="Times New Roman" w:cs="Times New Roman"/>
          <w:i w:val="0"/>
          <w:iCs w:val="0"/>
          <w:color w:val="212529"/>
        </w:rPr>
        <w:t>0.</w:t>
      </w:r>
    </w:p>
  </w:footnote>
  <w:footnote w:id="13">
    <w:p w14:paraId="654699F8" w14:textId="77777777" w:rsidR="00FF4E52" w:rsidRPr="006F2FE2" w:rsidRDefault="00FF4E52" w:rsidP="00FF4E52">
      <w:pPr>
        <w:pStyle w:val="FootnoteText"/>
        <w:spacing w:before="240"/>
        <w:ind w:firstLine="720"/>
        <w:rPr>
          <w:rFonts w:ascii="Times New Roman" w:hAnsi="Times New Roman" w:cs="Times New Roman"/>
        </w:rPr>
      </w:pPr>
      <w:r w:rsidRPr="006F2FE2">
        <w:rPr>
          <w:rStyle w:val="FootnoteReference"/>
          <w:rFonts w:ascii="Times New Roman" w:hAnsi="Times New Roman" w:cs="Times New Roman"/>
        </w:rPr>
        <w:footnoteRef/>
      </w:r>
      <w:r w:rsidRPr="006F2FE2">
        <w:rPr>
          <w:rFonts w:ascii="Times New Roman" w:hAnsi="Times New Roman" w:cs="Times New Roman"/>
        </w:rPr>
        <w:t xml:space="preserve"> Ibid., 352.</w:t>
      </w:r>
    </w:p>
  </w:footnote>
  <w:footnote w:id="14">
    <w:p w14:paraId="3F301E1B" w14:textId="77777777" w:rsidR="00FF4E52" w:rsidRPr="006F2FE2" w:rsidRDefault="00FF4E52" w:rsidP="00FF4E52">
      <w:pPr>
        <w:pStyle w:val="FootnoteText"/>
        <w:spacing w:before="240"/>
        <w:ind w:firstLine="720"/>
        <w:rPr>
          <w:rFonts w:ascii="Times New Roman" w:hAnsi="Times New Roman" w:cs="Times New Roman"/>
        </w:rPr>
      </w:pPr>
      <w:r w:rsidRPr="006F2FE2">
        <w:rPr>
          <w:rStyle w:val="FootnoteReference"/>
          <w:rFonts w:ascii="Times New Roman" w:hAnsi="Times New Roman" w:cs="Times New Roman"/>
        </w:rPr>
        <w:footnoteRef/>
      </w:r>
      <w:r w:rsidRPr="006F2FE2">
        <w:rPr>
          <w:rFonts w:ascii="Times New Roman" w:hAnsi="Times New Roman" w:cs="Times New Roman"/>
        </w:rPr>
        <w:t xml:space="preserve"> Ibid., 353.</w:t>
      </w:r>
    </w:p>
  </w:footnote>
  <w:footnote w:id="15">
    <w:p w14:paraId="34F35F09" w14:textId="77777777" w:rsidR="00FF4E52" w:rsidRPr="006F2FE2" w:rsidRDefault="00FF4E52" w:rsidP="00FF4E52">
      <w:pPr>
        <w:pStyle w:val="FootnoteText"/>
        <w:spacing w:before="240"/>
        <w:ind w:firstLine="720"/>
        <w:rPr>
          <w:rFonts w:ascii="Times New Roman" w:hAnsi="Times New Roman" w:cs="Times New Roman"/>
        </w:rPr>
      </w:pPr>
      <w:r w:rsidRPr="006F2FE2">
        <w:rPr>
          <w:rStyle w:val="FootnoteReference"/>
          <w:rFonts w:ascii="Times New Roman" w:hAnsi="Times New Roman" w:cs="Times New Roman"/>
        </w:rPr>
        <w:footnoteRef/>
      </w:r>
      <w:r w:rsidRPr="006F2FE2">
        <w:rPr>
          <w:rFonts w:ascii="Times New Roman" w:hAnsi="Times New Roman" w:cs="Times New Roman"/>
        </w:rPr>
        <w:t xml:space="preserve"> Ibid., 323.</w:t>
      </w:r>
    </w:p>
  </w:footnote>
  <w:footnote w:id="16">
    <w:p w14:paraId="1BB5A29A" w14:textId="77777777" w:rsidR="00FF4E52" w:rsidRPr="006F2FE2" w:rsidRDefault="00FF4E52" w:rsidP="00FF4E52">
      <w:pPr>
        <w:pStyle w:val="FootnoteText"/>
        <w:spacing w:before="240"/>
        <w:ind w:firstLine="720"/>
        <w:rPr>
          <w:rFonts w:ascii="Times New Roman" w:hAnsi="Times New Roman" w:cs="Times New Roman"/>
        </w:rPr>
      </w:pPr>
      <w:r w:rsidRPr="006F2FE2">
        <w:rPr>
          <w:rStyle w:val="FootnoteReference"/>
          <w:rFonts w:ascii="Times New Roman" w:hAnsi="Times New Roman" w:cs="Times New Roman"/>
        </w:rPr>
        <w:footnoteRef/>
      </w:r>
      <w:r w:rsidRPr="006F2FE2">
        <w:rPr>
          <w:rFonts w:ascii="Times New Roman" w:hAnsi="Times New Roman" w:cs="Times New Roman"/>
        </w:rPr>
        <w:t xml:space="preserve"> Gould, </w:t>
      </w:r>
      <w:r w:rsidRPr="006F2FE2">
        <w:rPr>
          <w:rFonts w:ascii="Times New Roman" w:hAnsi="Times New Roman" w:cs="Times New Roman"/>
          <w:i/>
          <w:iCs/>
        </w:rPr>
        <w:t>Stand Firm</w:t>
      </w:r>
      <w:r w:rsidRPr="006F2FE2">
        <w:rPr>
          <w:rFonts w:ascii="Times New Roman" w:hAnsi="Times New Roman" w:cs="Times New Roman"/>
        </w:rPr>
        <w:t>, 179.</w:t>
      </w:r>
    </w:p>
  </w:footnote>
  <w:footnote w:id="17">
    <w:p w14:paraId="4899CA9A" w14:textId="77777777" w:rsidR="00FF4E52" w:rsidRPr="006F2FE2" w:rsidRDefault="00FF4E52" w:rsidP="00FF4E52">
      <w:pPr>
        <w:pStyle w:val="FootnoteText"/>
        <w:spacing w:before="240"/>
        <w:ind w:firstLine="720"/>
        <w:rPr>
          <w:rFonts w:ascii="Times New Roman" w:hAnsi="Times New Roman" w:cs="Times New Roman"/>
        </w:rPr>
      </w:pPr>
      <w:r w:rsidRPr="006F2FE2">
        <w:rPr>
          <w:rStyle w:val="FootnoteReference"/>
          <w:rFonts w:ascii="Times New Roman" w:hAnsi="Times New Roman" w:cs="Times New Roman"/>
        </w:rPr>
        <w:footnoteRef/>
      </w:r>
      <w:r w:rsidRPr="006F2FE2">
        <w:rPr>
          <w:rFonts w:ascii="Times New Roman" w:hAnsi="Times New Roman" w:cs="Times New Roman"/>
        </w:rPr>
        <w:t xml:space="preserve"> </w:t>
      </w:r>
      <w:r w:rsidRPr="006F2FE2">
        <w:rPr>
          <w:rFonts w:ascii="Times New Roman" w:hAnsi="Times New Roman" w:cs="Times New Roman"/>
          <w:color w:val="212529"/>
        </w:rPr>
        <w:t>Corduan, </w:t>
      </w:r>
      <w:r w:rsidRPr="006F2FE2">
        <w:rPr>
          <w:rStyle w:val="Emphasis"/>
          <w:rFonts w:ascii="Times New Roman" w:hAnsi="Times New Roman" w:cs="Times New Roman"/>
          <w:color w:val="212529"/>
        </w:rPr>
        <w:t xml:space="preserve">Neighboring Faiths, </w:t>
      </w:r>
      <w:r w:rsidRPr="006F2FE2">
        <w:rPr>
          <w:rFonts w:ascii="Times New Roman" w:hAnsi="Times New Roman" w:cs="Times New Roman"/>
        </w:rPr>
        <w:t>353.</w:t>
      </w:r>
    </w:p>
  </w:footnote>
  <w:footnote w:id="18">
    <w:p w14:paraId="7F03FA26" w14:textId="77777777" w:rsidR="00FF4E52" w:rsidRPr="006F2FE2" w:rsidRDefault="00FF4E52" w:rsidP="00FF4E52">
      <w:pPr>
        <w:pStyle w:val="FootnoteText"/>
        <w:spacing w:before="240"/>
        <w:ind w:firstLine="720"/>
        <w:rPr>
          <w:rFonts w:ascii="Times New Roman" w:hAnsi="Times New Roman" w:cs="Times New Roman"/>
        </w:rPr>
      </w:pPr>
      <w:r w:rsidRPr="006F2FE2">
        <w:rPr>
          <w:rStyle w:val="FootnoteReference"/>
          <w:rFonts w:ascii="Times New Roman" w:hAnsi="Times New Roman" w:cs="Times New Roman"/>
        </w:rPr>
        <w:footnoteRef/>
      </w:r>
      <w:r w:rsidRPr="006F2FE2">
        <w:rPr>
          <w:rFonts w:ascii="Times New Roman" w:hAnsi="Times New Roman" w:cs="Times New Roman"/>
        </w:rPr>
        <w:t xml:space="preserve"> Ibid., 353.</w:t>
      </w:r>
    </w:p>
  </w:footnote>
  <w:footnote w:id="19">
    <w:p w14:paraId="18DBBF7F" w14:textId="77777777" w:rsidR="00FF4E52" w:rsidRPr="006F2FE2" w:rsidRDefault="00FF4E52" w:rsidP="00FF4E52">
      <w:pPr>
        <w:pStyle w:val="FootnoteText"/>
        <w:spacing w:before="240"/>
        <w:ind w:firstLine="720"/>
        <w:rPr>
          <w:rFonts w:ascii="Times New Roman" w:hAnsi="Times New Roman" w:cs="Times New Roman"/>
        </w:rPr>
      </w:pPr>
      <w:r w:rsidRPr="006F2FE2">
        <w:rPr>
          <w:rStyle w:val="FootnoteReference"/>
          <w:rFonts w:ascii="Times New Roman" w:hAnsi="Times New Roman" w:cs="Times New Roman"/>
        </w:rPr>
        <w:footnoteRef/>
      </w:r>
      <w:r w:rsidRPr="006F2FE2">
        <w:rPr>
          <w:rFonts w:ascii="Times New Roman" w:hAnsi="Times New Roman" w:cs="Times New Roman"/>
        </w:rPr>
        <w:t xml:space="preserve"> Chris </w:t>
      </w:r>
      <w:proofErr w:type="spellStart"/>
      <w:r w:rsidRPr="006F2FE2">
        <w:rPr>
          <w:rFonts w:ascii="Times New Roman" w:hAnsi="Times New Roman" w:cs="Times New Roman"/>
        </w:rPr>
        <w:t>Granakan</w:t>
      </w:r>
      <w:proofErr w:type="spellEnd"/>
      <w:r w:rsidRPr="006F2FE2">
        <w:rPr>
          <w:rFonts w:ascii="Times New Roman" w:hAnsi="Times New Roman" w:cs="Times New Roman"/>
        </w:rPr>
        <w:t>,</w:t>
      </w:r>
      <w:r>
        <w:rPr>
          <w:rFonts w:ascii="Times New Roman" w:hAnsi="Times New Roman" w:cs="Times New Roman"/>
        </w:rPr>
        <w:t xml:space="preserve"> “</w:t>
      </w:r>
      <w:r w:rsidRPr="006F2FE2">
        <w:rPr>
          <w:rFonts w:ascii="Times New Roman" w:hAnsi="Times New Roman" w:cs="Times New Roman"/>
        </w:rPr>
        <w:t>Sharing Christ with Buddhists” (Course video in APOL 525 at Liberty University, Lynchburg, VA, July 28, 2021).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CEB"/>
    <w:rsid w:val="0023311D"/>
    <w:rsid w:val="00293DA9"/>
    <w:rsid w:val="002B18EF"/>
    <w:rsid w:val="003428DF"/>
    <w:rsid w:val="003A2E97"/>
    <w:rsid w:val="003E32FA"/>
    <w:rsid w:val="00404F18"/>
    <w:rsid w:val="004743E1"/>
    <w:rsid w:val="004A7CEB"/>
    <w:rsid w:val="004D754E"/>
    <w:rsid w:val="004E3DBE"/>
    <w:rsid w:val="005D291E"/>
    <w:rsid w:val="006F2FE2"/>
    <w:rsid w:val="00866984"/>
    <w:rsid w:val="00953897"/>
    <w:rsid w:val="009D38B5"/>
    <w:rsid w:val="009F633A"/>
    <w:rsid w:val="009F7A2E"/>
    <w:rsid w:val="00AD02D7"/>
    <w:rsid w:val="00AD75CF"/>
    <w:rsid w:val="00BF1183"/>
    <w:rsid w:val="00DA3556"/>
    <w:rsid w:val="00DE0D73"/>
    <w:rsid w:val="00EB5ADC"/>
    <w:rsid w:val="00F327B1"/>
    <w:rsid w:val="00FF4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637A1"/>
  <w15:chartTrackingRefBased/>
  <w15:docId w15:val="{DCDF500B-73AC-4324-96A0-C500EB086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AD75CF"/>
    <w:pPr>
      <w:spacing w:after="0" w:line="240" w:lineRule="auto"/>
    </w:pPr>
    <w:rPr>
      <w:sz w:val="20"/>
      <w:szCs w:val="20"/>
    </w:rPr>
  </w:style>
  <w:style w:type="character" w:customStyle="1" w:styleId="FootnoteTextChar">
    <w:name w:val="Footnote Text Char"/>
    <w:basedOn w:val="DefaultParagraphFont"/>
    <w:link w:val="FootnoteText"/>
    <w:uiPriority w:val="99"/>
    <w:qFormat/>
    <w:rsid w:val="00AD75CF"/>
    <w:rPr>
      <w:sz w:val="20"/>
      <w:szCs w:val="20"/>
    </w:rPr>
  </w:style>
  <w:style w:type="character" w:styleId="FootnoteReference">
    <w:name w:val="footnote reference"/>
    <w:basedOn w:val="DefaultParagraphFont"/>
    <w:uiPriority w:val="99"/>
    <w:semiHidden/>
    <w:unhideWhenUsed/>
    <w:rsid w:val="00AD75CF"/>
    <w:rPr>
      <w:vertAlign w:val="superscript"/>
    </w:rPr>
  </w:style>
  <w:style w:type="character" w:styleId="Emphasis">
    <w:name w:val="Emphasis"/>
    <w:basedOn w:val="DefaultParagraphFont"/>
    <w:uiPriority w:val="20"/>
    <w:qFormat/>
    <w:rsid w:val="00293DA9"/>
    <w:rPr>
      <w:i/>
      <w:iCs/>
    </w:rPr>
  </w:style>
  <w:style w:type="paragraph" w:styleId="NormalWeb">
    <w:name w:val="Normal (Web)"/>
    <w:basedOn w:val="Normal"/>
    <w:uiPriority w:val="99"/>
    <w:unhideWhenUsed/>
    <w:rsid w:val="00293D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4743E1"/>
  </w:style>
  <w:style w:type="character" w:styleId="Hyperlink">
    <w:name w:val="Hyperlink"/>
    <w:basedOn w:val="DefaultParagraphFont"/>
    <w:uiPriority w:val="99"/>
    <w:semiHidden/>
    <w:unhideWhenUsed/>
    <w:rsid w:val="00953897"/>
    <w:rPr>
      <w:color w:val="0000FF"/>
      <w:u w:val="single"/>
    </w:rPr>
  </w:style>
  <w:style w:type="character" w:styleId="Strong">
    <w:name w:val="Strong"/>
    <w:basedOn w:val="DefaultParagraphFont"/>
    <w:uiPriority w:val="22"/>
    <w:qFormat/>
    <w:rsid w:val="009538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241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3</Pages>
  <Words>839</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2021-07-27T19:51:00Z</dcterms:created>
  <dcterms:modified xsi:type="dcterms:W3CDTF">2021-07-28T21:16:00Z</dcterms:modified>
</cp:coreProperties>
</file>