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CD232" w14:textId="0EDAEF17" w:rsidR="006903F9" w:rsidRPr="006903F9" w:rsidRDefault="006903F9" w:rsidP="006903F9">
      <w:pPr>
        <w:spacing w:after="0" w:line="240" w:lineRule="auto"/>
        <w:rPr>
          <w:rFonts w:ascii="Times New Roman" w:eastAsia="Times New Roman" w:hAnsi="Times New Roman" w:cs="Times New Roman"/>
          <w:color w:val="0E101A"/>
          <w:sz w:val="24"/>
          <w:szCs w:val="24"/>
        </w:rPr>
      </w:pPr>
      <w:r w:rsidRPr="006903F9">
        <w:rPr>
          <w:rFonts w:ascii="Times New Roman" w:eastAsia="Times New Roman" w:hAnsi="Times New Roman" w:cs="Times New Roman"/>
          <w:color w:val="0E101A"/>
          <w:sz w:val="24"/>
          <w:szCs w:val="24"/>
        </w:rPr>
        <w:t>Usually, when founders of religions come into the world, they come as infants. Take the example of the founder of Christianity, Jesus, the founder of Islam, Mohamed, and so forth. They were born babies and grew up to be adults. Now, when it comes to Daoism, the story is different. The founder Lazio was born already age</w:t>
      </w:r>
      <w:r>
        <w:rPr>
          <w:rFonts w:ascii="Times New Roman" w:eastAsia="Times New Roman" w:hAnsi="Times New Roman" w:cs="Times New Roman"/>
          <w:color w:val="0E101A"/>
          <w:sz w:val="24"/>
          <w:szCs w:val="24"/>
        </w:rPr>
        <w:t>d</w:t>
      </w:r>
      <w:r w:rsidRPr="006903F9">
        <w:rPr>
          <w:rFonts w:ascii="Times New Roman" w:eastAsia="Times New Roman" w:hAnsi="Times New Roman" w:cs="Times New Roman"/>
          <w:color w:val="0E101A"/>
          <w:sz w:val="24"/>
          <w:szCs w:val="24"/>
        </w:rPr>
        <w:t xml:space="preserve"> seventy-two</w:t>
      </w:r>
      <w:r>
        <w:rPr>
          <w:rFonts w:ascii="Times New Roman" w:eastAsia="Times New Roman" w:hAnsi="Times New Roman" w:cs="Times New Roman"/>
          <w:color w:val="0E101A"/>
          <w:sz w:val="24"/>
          <w:szCs w:val="24"/>
        </w:rPr>
        <w:t xml:space="preserve"> years old</w:t>
      </w:r>
      <w:r w:rsidRPr="006903F9">
        <w:rPr>
          <w:rFonts w:ascii="Times New Roman" w:eastAsia="Times New Roman" w:hAnsi="Times New Roman" w:cs="Times New Roman"/>
          <w:color w:val="0E101A"/>
          <w:sz w:val="24"/>
          <w:szCs w:val="24"/>
        </w:rPr>
        <w:t xml:space="preserve">. According to the legend, Lazio was born around 604 BC in what is now the eastern Chinese province of </w:t>
      </w:r>
      <w:proofErr w:type="spellStart"/>
      <w:r w:rsidRPr="006903F9">
        <w:rPr>
          <w:rFonts w:ascii="Times New Roman" w:eastAsia="Times New Roman" w:hAnsi="Times New Roman" w:cs="Times New Roman"/>
          <w:color w:val="0E101A"/>
          <w:sz w:val="24"/>
          <w:szCs w:val="24"/>
        </w:rPr>
        <w:t>Heana</w:t>
      </w:r>
      <w:proofErr w:type="spellEnd"/>
      <w:r w:rsidRPr="006903F9">
        <w:rPr>
          <w:rFonts w:ascii="Times New Roman" w:eastAsia="Times New Roman" w:hAnsi="Times New Roman" w:cs="Times New Roman"/>
          <w:color w:val="0E101A"/>
          <w:sz w:val="24"/>
          <w:szCs w:val="24"/>
        </w:rPr>
        <w:t>. Though several scholars believe that as a philosophy, Daoism had been around for quite a while, many agree that it is not until the sixth century that Daoism gained traction. Winfried Corduan points out that Laozi might have been roughly a contemporary of Confucius.</w:t>
      </w:r>
      <w:r w:rsidRPr="003622C4">
        <w:rPr>
          <w:rStyle w:val="FootnoteReference"/>
          <w:rFonts w:ascii="Times New Roman" w:hAnsi="Times New Roman" w:cs="Times New Roman"/>
          <w:sz w:val="24"/>
          <w:szCs w:val="24"/>
        </w:rPr>
        <w:footnoteReference w:id="1"/>
      </w:r>
      <w:r w:rsidRPr="006903F9">
        <w:rPr>
          <w:rFonts w:ascii="Times New Roman" w:eastAsia="Times New Roman" w:hAnsi="Times New Roman" w:cs="Times New Roman"/>
          <w:color w:val="0E101A"/>
          <w:sz w:val="24"/>
          <w:szCs w:val="24"/>
        </w:rPr>
        <w:t> That said, neither legend nor historical research tells us more about his life. Einzelganger avers that his existence is disputable as there is no proof that he existed.</w:t>
      </w:r>
      <w:r w:rsidRPr="003622C4">
        <w:rPr>
          <w:rStyle w:val="FootnoteReference"/>
          <w:rFonts w:ascii="Times New Roman" w:hAnsi="Times New Roman" w:cs="Times New Roman"/>
          <w:sz w:val="24"/>
          <w:szCs w:val="24"/>
        </w:rPr>
        <w:footnoteReference w:id="2"/>
      </w:r>
      <w:r w:rsidRPr="006903F9">
        <w:rPr>
          <w:rFonts w:ascii="Times New Roman" w:eastAsia="Times New Roman" w:hAnsi="Times New Roman" w:cs="Times New Roman"/>
          <w:color w:val="0E101A"/>
          <w:sz w:val="24"/>
          <w:szCs w:val="24"/>
        </w:rPr>
        <w:t> However, from the little that is known, Laozi was an archivist at the court of a nobleman and taught a handful of disciples.</w:t>
      </w:r>
      <w:r w:rsidRPr="003622C4">
        <w:rPr>
          <w:rStyle w:val="FootnoteReference"/>
          <w:rFonts w:ascii="Times New Roman" w:hAnsi="Times New Roman" w:cs="Times New Roman"/>
          <w:sz w:val="24"/>
          <w:szCs w:val="24"/>
        </w:rPr>
        <w:footnoteReference w:id="3"/>
      </w:r>
      <w:r w:rsidRPr="006903F9">
        <w:rPr>
          <w:rFonts w:ascii="Times New Roman" w:eastAsia="Times New Roman" w:hAnsi="Times New Roman" w:cs="Times New Roman"/>
          <w:color w:val="0E101A"/>
          <w:sz w:val="24"/>
          <w:szCs w:val="24"/>
        </w:rPr>
        <w:t> A very significant event in his life is when he decided to leave China altogether and travel west. When he got to the western boundary of the Chinese empire, the legend says that the gatekeeper would not let him pass unless he wrote down his wisdom for posterity.</w:t>
      </w:r>
      <w:r w:rsidRPr="003622C4">
        <w:rPr>
          <w:rStyle w:val="FootnoteReference"/>
          <w:rFonts w:ascii="Times New Roman" w:hAnsi="Times New Roman" w:cs="Times New Roman"/>
          <w:sz w:val="24"/>
          <w:szCs w:val="24"/>
        </w:rPr>
        <w:footnoteReference w:id="4"/>
      </w:r>
      <w:r w:rsidRPr="006903F9">
        <w:rPr>
          <w:rFonts w:ascii="Times New Roman" w:eastAsia="Times New Roman" w:hAnsi="Times New Roman" w:cs="Times New Roman"/>
          <w:color w:val="0E101A"/>
          <w:sz w:val="24"/>
          <w:szCs w:val="24"/>
        </w:rPr>
        <w:t> According to Winfried Corduan, “The sage complied and in one sitting composed the entire book now known as the Daodejing (Tao-</w:t>
      </w:r>
      <w:r w:rsidR="004C064E">
        <w:rPr>
          <w:rFonts w:ascii="Times New Roman" w:eastAsia="Times New Roman" w:hAnsi="Times New Roman" w:cs="Times New Roman"/>
          <w:color w:val="0E101A"/>
          <w:sz w:val="24"/>
          <w:szCs w:val="24"/>
        </w:rPr>
        <w:t>T</w:t>
      </w:r>
      <w:r w:rsidRPr="006903F9">
        <w:rPr>
          <w:rFonts w:ascii="Times New Roman" w:eastAsia="Times New Roman" w:hAnsi="Times New Roman" w:cs="Times New Roman"/>
          <w:color w:val="0E101A"/>
          <w:sz w:val="24"/>
          <w:szCs w:val="24"/>
        </w:rPr>
        <w:t>e-</w:t>
      </w:r>
      <w:r w:rsidR="004C064E">
        <w:rPr>
          <w:rFonts w:ascii="Times New Roman" w:eastAsia="Times New Roman" w:hAnsi="Times New Roman" w:cs="Times New Roman"/>
          <w:color w:val="0E101A"/>
          <w:sz w:val="24"/>
          <w:szCs w:val="24"/>
        </w:rPr>
        <w:t>C</w:t>
      </w:r>
      <w:r w:rsidRPr="006903F9">
        <w:rPr>
          <w:rFonts w:ascii="Times New Roman" w:eastAsia="Times New Roman" w:hAnsi="Times New Roman" w:cs="Times New Roman"/>
          <w:color w:val="0E101A"/>
          <w:sz w:val="24"/>
          <w:szCs w:val="24"/>
        </w:rPr>
        <w:t>hing).”</w:t>
      </w:r>
      <w:r w:rsidRPr="003622C4">
        <w:rPr>
          <w:rStyle w:val="FootnoteReference"/>
          <w:rFonts w:ascii="Times New Roman" w:hAnsi="Times New Roman" w:cs="Times New Roman"/>
          <w:sz w:val="24"/>
          <w:szCs w:val="24"/>
        </w:rPr>
        <w:footnoteReference w:id="5"/>
      </w:r>
      <w:r w:rsidRPr="006903F9">
        <w:rPr>
          <w:rFonts w:ascii="Times New Roman" w:eastAsia="Times New Roman" w:hAnsi="Times New Roman" w:cs="Times New Roman"/>
          <w:color w:val="0E101A"/>
          <w:sz w:val="24"/>
          <w:szCs w:val="24"/>
        </w:rPr>
        <w:t> Translated, the word Daodejing means “the book of the way and its power.”</w:t>
      </w:r>
      <w:r w:rsidRPr="003622C4">
        <w:rPr>
          <w:rStyle w:val="FootnoteReference"/>
          <w:rFonts w:ascii="Times New Roman" w:hAnsi="Times New Roman" w:cs="Times New Roman"/>
          <w:sz w:val="24"/>
          <w:szCs w:val="24"/>
        </w:rPr>
        <w:footnoteReference w:id="6"/>
      </w:r>
      <w:r w:rsidRPr="006903F9">
        <w:rPr>
          <w:rFonts w:ascii="Times New Roman" w:eastAsia="Times New Roman" w:hAnsi="Times New Roman" w:cs="Times New Roman"/>
          <w:color w:val="0E101A"/>
          <w:sz w:val="24"/>
          <w:szCs w:val="24"/>
        </w:rPr>
        <w:t> Winfried Corduan further observes apart from the Christian Bible, no piece of literature has been more translated than Daodejing.</w:t>
      </w:r>
      <w:r>
        <w:rPr>
          <w:rStyle w:val="FootnoteReference"/>
          <w:rFonts w:ascii="Times New Roman" w:hAnsi="Times New Roman" w:cs="Times New Roman"/>
          <w:sz w:val="24"/>
          <w:szCs w:val="24"/>
        </w:rPr>
        <w:footnoteReference w:id="7"/>
      </w:r>
    </w:p>
    <w:p w14:paraId="6828B302" w14:textId="1494E81F" w:rsidR="006903F9" w:rsidRPr="006903F9" w:rsidRDefault="006903F9" w:rsidP="006903F9">
      <w:pPr>
        <w:spacing w:after="0" w:line="240" w:lineRule="auto"/>
        <w:rPr>
          <w:rFonts w:ascii="Times New Roman" w:eastAsia="Times New Roman" w:hAnsi="Times New Roman" w:cs="Times New Roman"/>
          <w:color w:val="0E101A"/>
          <w:sz w:val="24"/>
          <w:szCs w:val="24"/>
        </w:rPr>
      </w:pPr>
      <w:r w:rsidRPr="006903F9">
        <w:rPr>
          <w:rFonts w:ascii="Times New Roman" w:eastAsia="Times New Roman" w:hAnsi="Times New Roman" w:cs="Times New Roman"/>
          <w:color w:val="0E101A"/>
          <w:sz w:val="24"/>
          <w:szCs w:val="24"/>
        </w:rPr>
        <w:t>Daodejing teaches the essence of Daoism, which is to live in harmony with Dao or The Way.</w:t>
      </w:r>
      <w:r w:rsidRPr="003622C4">
        <w:rPr>
          <w:rStyle w:val="FootnoteReference"/>
          <w:rFonts w:ascii="Times New Roman" w:hAnsi="Times New Roman" w:cs="Times New Roman"/>
          <w:sz w:val="24"/>
          <w:szCs w:val="24"/>
        </w:rPr>
        <w:footnoteReference w:id="8"/>
      </w:r>
      <w:r w:rsidRPr="006903F9">
        <w:rPr>
          <w:rFonts w:ascii="Times New Roman" w:eastAsia="Times New Roman" w:hAnsi="Times New Roman" w:cs="Times New Roman"/>
          <w:color w:val="0E101A"/>
          <w:sz w:val="24"/>
          <w:szCs w:val="24"/>
        </w:rPr>
        <w:t> According to Winfried Corduan, “The point of early Daoism is that it cannot be found either through words or through actions.”</w:t>
      </w:r>
      <w:r w:rsidRPr="003622C4">
        <w:rPr>
          <w:rStyle w:val="FootnoteReference"/>
          <w:rFonts w:ascii="Times New Roman" w:hAnsi="Times New Roman" w:cs="Times New Roman"/>
          <w:sz w:val="24"/>
          <w:szCs w:val="24"/>
        </w:rPr>
        <w:footnoteReference w:id="9"/>
      </w:r>
      <w:r w:rsidRPr="006903F9">
        <w:rPr>
          <w:rFonts w:ascii="Times New Roman" w:eastAsia="Times New Roman" w:hAnsi="Times New Roman" w:cs="Times New Roman"/>
          <w:color w:val="0E101A"/>
          <w:sz w:val="24"/>
          <w:szCs w:val="24"/>
        </w:rPr>
        <w:t> Dao is beyond words. Lao Tzu says, “The Tao that can be described is not the eternal Tao. The name that can be spoken is not the eternal Name.”</w:t>
      </w:r>
      <w:r w:rsidRPr="003622C4">
        <w:rPr>
          <w:rStyle w:val="FootnoteReference"/>
          <w:rFonts w:ascii="Times New Roman" w:hAnsi="Times New Roman" w:cs="Times New Roman"/>
          <w:sz w:val="24"/>
          <w:szCs w:val="24"/>
        </w:rPr>
        <w:footnoteReference w:id="10"/>
      </w:r>
      <w:r w:rsidRPr="006903F9">
        <w:rPr>
          <w:rFonts w:ascii="Times New Roman" w:eastAsia="Times New Roman" w:hAnsi="Times New Roman" w:cs="Times New Roman"/>
          <w:color w:val="0E101A"/>
          <w:sz w:val="24"/>
          <w:szCs w:val="24"/>
        </w:rPr>
        <w:t> Instead, he avers, “The true Tao is an all-encompassing force that is all beyond our comprehension and cannot be perceived by senses.”</w:t>
      </w:r>
      <w:r>
        <w:rPr>
          <w:rStyle w:val="FootnoteReference"/>
          <w:rFonts w:ascii="Times New Roman" w:eastAsia="Times New Roman" w:hAnsi="Times New Roman" w:cs="Times New Roman"/>
          <w:color w:val="0E101A"/>
          <w:sz w:val="24"/>
          <w:szCs w:val="24"/>
        </w:rPr>
        <w:footnoteReference w:id="11"/>
      </w:r>
    </w:p>
    <w:p w14:paraId="7C6854AD" w14:textId="1291E13A" w:rsidR="006903F9" w:rsidRPr="006903F9" w:rsidRDefault="006903F9" w:rsidP="006903F9">
      <w:pPr>
        <w:spacing w:after="0" w:line="240" w:lineRule="auto"/>
        <w:rPr>
          <w:rFonts w:ascii="Times New Roman" w:eastAsia="Times New Roman" w:hAnsi="Times New Roman" w:cs="Times New Roman"/>
          <w:color w:val="0E101A"/>
          <w:sz w:val="24"/>
          <w:szCs w:val="24"/>
        </w:rPr>
      </w:pPr>
      <w:r w:rsidRPr="006903F9">
        <w:rPr>
          <w:rFonts w:ascii="Times New Roman" w:eastAsia="Times New Roman" w:hAnsi="Times New Roman" w:cs="Times New Roman"/>
          <w:color w:val="0E101A"/>
          <w:sz w:val="24"/>
          <w:szCs w:val="24"/>
        </w:rPr>
        <w:lastRenderedPageBreak/>
        <w:t>Another important concept of Daoism is Wu Wie. Wu Wei happens when a person is passive and lets things flow. In other words, he abandons all attempts to compel a better life for themselves or society. Also, he takes no action or insists on effortless action or action of nonaction. Analogically speaking, the Daoist way is navigating through the river without having to control it.</w:t>
      </w:r>
      <w:r w:rsidRPr="003622C4">
        <w:rPr>
          <w:rStyle w:val="FootnoteReference"/>
          <w:rFonts w:ascii="Times New Roman" w:hAnsi="Times New Roman" w:cs="Times New Roman"/>
          <w:sz w:val="24"/>
          <w:szCs w:val="24"/>
        </w:rPr>
        <w:footnoteReference w:id="12"/>
      </w:r>
      <w:r w:rsidRPr="006903F9">
        <w:rPr>
          <w:rFonts w:ascii="Times New Roman" w:eastAsia="Times New Roman" w:hAnsi="Times New Roman" w:cs="Times New Roman"/>
          <w:color w:val="0E101A"/>
          <w:sz w:val="24"/>
          <w:szCs w:val="24"/>
        </w:rPr>
        <w:t>  </w:t>
      </w:r>
    </w:p>
    <w:p w14:paraId="498561D7" w14:textId="7EB71BAE" w:rsidR="006903F9" w:rsidRPr="006903F9" w:rsidRDefault="006903F9" w:rsidP="006903F9">
      <w:pPr>
        <w:spacing w:after="0" w:line="240" w:lineRule="auto"/>
        <w:rPr>
          <w:rFonts w:ascii="Times New Roman" w:eastAsia="Times New Roman" w:hAnsi="Times New Roman" w:cs="Times New Roman"/>
          <w:color w:val="0E101A"/>
          <w:sz w:val="24"/>
          <w:szCs w:val="24"/>
        </w:rPr>
      </w:pPr>
      <w:r w:rsidRPr="006903F9">
        <w:rPr>
          <w:rFonts w:ascii="Times New Roman" w:eastAsia="Times New Roman" w:hAnsi="Times New Roman" w:cs="Times New Roman"/>
          <w:color w:val="0E101A"/>
          <w:sz w:val="24"/>
          <w:szCs w:val="24"/>
        </w:rPr>
        <w:t>Therefore, sharing the gospel with a Daoist must then begin with an understanding of their culture. Up to this point, I have never met a Daoist. Nonetheless, if I met one based on Winfried Corduan’s </w:t>
      </w:r>
      <w:r w:rsidRPr="006903F9">
        <w:rPr>
          <w:rFonts w:ascii="Times New Roman" w:eastAsia="Times New Roman" w:hAnsi="Times New Roman" w:cs="Times New Roman"/>
          <w:i/>
          <w:iCs/>
          <w:color w:val="0E101A"/>
          <w:sz w:val="24"/>
          <w:szCs w:val="24"/>
        </w:rPr>
        <w:t>So You Meet a Chinese with Ties to A Popular Religion…</w:t>
      </w:r>
      <w:r w:rsidRPr="006903F9">
        <w:rPr>
          <w:rFonts w:ascii="Times New Roman" w:eastAsia="Times New Roman" w:hAnsi="Times New Roman" w:cs="Times New Roman"/>
          <w:color w:val="0E101A"/>
          <w:sz w:val="24"/>
          <w:szCs w:val="24"/>
        </w:rPr>
        <w:t>, I would contextualize the gospel. Winfried Corduan avers that a person sharing the gospel with a Daoist should set aside individualistic tendencies and appeal to a sense of community.</w:t>
      </w:r>
      <w:r w:rsidRPr="003622C4">
        <w:rPr>
          <w:rStyle w:val="FootnoteReference"/>
          <w:rFonts w:ascii="Times New Roman" w:hAnsi="Times New Roman" w:cs="Times New Roman"/>
          <w:sz w:val="24"/>
          <w:szCs w:val="24"/>
        </w:rPr>
        <w:footnoteReference w:id="13"/>
      </w:r>
      <w:r w:rsidRPr="006903F9">
        <w:rPr>
          <w:rFonts w:ascii="Times New Roman" w:eastAsia="Times New Roman" w:hAnsi="Times New Roman" w:cs="Times New Roman"/>
          <w:color w:val="0E101A"/>
          <w:sz w:val="24"/>
          <w:szCs w:val="24"/>
        </w:rPr>
        <w:t> For example, instead of asking a Daoist to receive Jesus Christ as a personal savior, he can ask them to join the family of God. </w:t>
      </w:r>
    </w:p>
    <w:p w14:paraId="0C534B30" w14:textId="77777777" w:rsidR="006903F9" w:rsidRDefault="006903F9">
      <w:pPr>
        <w:rPr>
          <w:rFonts w:ascii="Times New Roman" w:hAnsi="Times New Roman" w:cs="Times New Roman"/>
          <w:sz w:val="24"/>
          <w:szCs w:val="24"/>
        </w:rPr>
      </w:pPr>
    </w:p>
    <w:p w14:paraId="7E1ED377" w14:textId="7E798262" w:rsidR="002B1426" w:rsidRPr="003622C4" w:rsidRDefault="002B1426">
      <w:pPr>
        <w:rPr>
          <w:rFonts w:ascii="Times New Roman" w:hAnsi="Times New Roman" w:cs="Times New Roman"/>
          <w:sz w:val="24"/>
          <w:szCs w:val="24"/>
        </w:rPr>
      </w:pPr>
    </w:p>
    <w:p w14:paraId="168BED2E" w14:textId="17FA487D" w:rsidR="003622C4" w:rsidRPr="003622C4" w:rsidRDefault="003622C4">
      <w:pPr>
        <w:rPr>
          <w:rFonts w:ascii="Times New Roman" w:hAnsi="Times New Roman" w:cs="Times New Roman"/>
          <w:b/>
          <w:bCs/>
          <w:sz w:val="24"/>
          <w:szCs w:val="24"/>
        </w:rPr>
      </w:pPr>
      <w:r w:rsidRPr="003622C4">
        <w:rPr>
          <w:rFonts w:ascii="Times New Roman" w:hAnsi="Times New Roman" w:cs="Times New Roman"/>
          <w:b/>
          <w:bCs/>
          <w:sz w:val="24"/>
          <w:szCs w:val="24"/>
        </w:rPr>
        <w:t>Bibliography</w:t>
      </w:r>
    </w:p>
    <w:p w14:paraId="08908128" w14:textId="77777777" w:rsidR="003622C4" w:rsidRPr="003622C4" w:rsidRDefault="003622C4" w:rsidP="003622C4">
      <w:pPr>
        <w:pStyle w:val="NormalWeb"/>
        <w:shd w:val="clear" w:color="auto" w:fill="FFFFFF"/>
        <w:spacing w:before="240" w:beforeAutospacing="0" w:after="240" w:afterAutospacing="0"/>
        <w:ind w:left="720" w:hanging="720"/>
        <w:rPr>
          <w:color w:val="212529"/>
        </w:rPr>
      </w:pPr>
      <w:r w:rsidRPr="003622C4">
        <w:rPr>
          <w:color w:val="212529"/>
        </w:rPr>
        <w:t>Corduan, Winfried. </w:t>
      </w:r>
      <w:r w:rsidRPr="003622C4">
        <w:rPr>
          <w:rStyle w:val="Emphasis"/>
          <w:rFonts w:eastAsiaTheme="majorEastAsia"/>
          <w:color w:val="212529"/>
        </w:rPr>
        <w:t>Neighboring Faiths: A Christian Introduction to World Religions</w:t>
      </w:r>
      <w:r w:rsidRPr="003622C4">
        <w:rPr>
          <w:color w:val="212529"/>
        </w:rPr>
        <w:t>. 2nd ed. Downers Grove: InterVarsity Press, 2012.</w:t>
      </w:r>
    </w:p>
    <w:p w14:paraId="2AB7930E" w14:textId="77777777" w:rsidR="003622C4" w:rsidRPr="003622C4" w:rsidRDefault="003622C4" w:rsidP="003622C4">
      <w:pPr>
        <w:ind w:left="720" w:hanging="720"/>
        <w:rPr>
          <w:rFonts w:ascii="Times New Roman" w:hAnsi="Times New Roman" w:cs="Times New Roman"/>
          <w:sz w:val="24"/>
          <w:szCs w:val="24"/>
        </w:rPr>
      </w:pPr>
      <w:r w:rsidRPr="003622C4">
        <w:rPr>
          <w:rFonts w:ascii="Times New Roman" w:hAnsi="Times New Roman" w:cs="Times New Roman"/>
          <w:sz w:val="24"/>
          <w:szCs w:val="24"/>
        </w:rPr>
        <w:t>Ei</w:t>
      </w:r>
      <w:r w:rsidRPr="003622C4">
        <w:rPr>
          <w:rFonts w:ascii="Times New Roman" w:hAnsi="Times New Roman" w:cs="Times New Roman"/>
          <w:sz w:val="24"/>
          <w:szCs w:val="24"/>
        </w:rPr>
        <w:t>n</w:t>
      </w:r>
      <w:r w:rsidRPr="003622C4">
        <w:rPr>
          <w:rFonts w:ascii="Times New Roman" w:hAnsi="Times New Roman" w:cs="Times New Roman"/>
          <w:sz w:val="24"/>
          <w:szCs w:val="24"/>
        </w:rPr>
        <w:t>zelganger. “Taoism | The Philosophy of Flow” (Course video in APOL 525 at Liberty University, Lynchburg, VA, August 4, 2021).</w:t>
      </w:r>
    </w:p>
    <w:p w14:paraId="62C7F081" w14:textId="77777777" w:rsidR="003622C4" w:rsidRPr="003622C4" w:rsidRDefault="003622C4">
      <w:pPr>
        <w:rPr>
          <w:rFonts w:ascii="Times New Roman" w:hAnsi="Times New Roman" w:cs="Times New Roman"/>
          <w:sz w:val="24"/>
          <w:szCs w:val="24"/>
        </w:rPr>
      </w:pPr>
    </w:p>
    <w:p w14:paraId="332BD3A1" w14:textId="336290FE" w:rsidR="002B1426" w:rsidRPr="003622C4" w:rsidRDefault="002B1426">
      <w:pPr>
        <w:rPr>
          <w:rFonts w:ascii="Times New Roman" w:hAnsi="Times New Roman" w:cs="Times New Roman"/>
          <w:sz w:val="24"/>
          <w:szCs w:val="24"/>
        </w:rPr>
      </w:pPr>
    </w:p>
    <w:p w14:paraId="67614161" w14:textId="77777777" w:rsidR="002B1426" w:rsidRPr="003622C4" w:rsidRDefault="002B1426">
      <w:pPr>
        <w:rPr>
          <w:rFonts w:ascii="Times New Roman" w:hAnsi="Times New Roman" w:cs="Times New Roman"/>
          <w:sz w:val="24"/>
          <w:szCs w:val="24"/>
        </w:rPr>
      </w:pPr>
    </w:p>
    <w:p w14:paraId="5AB75630" w14:textId="77777777" w:rsidR="0084082E" w:rsidRPr="003622C4" w:rsidRDefault="0084082E">
      <w:pPr>
        <w:rPr>
          <w:rFonts w:ascii="Times New Roman" w:hAnsi="Times New Roman" w:cs="Times New Roman"/>
          <w:sz w:val="24"/>
          <w:szCs w:val="24"/>
        </w:rPr>
      </w:pPr>
    </w:p>
    <w:p w14:paraId="156AB1F3" w14:textId="77777777" w:rsidR="00BF0F7D" w:rsidRPr="003622C4" w:rsidRDefault="00BF0F7D">
      <w:pPr>
        <w:rPr>
          <w:rFonts w:ascii="Times New Roman" w:hAnsi="Times New Roman" w:cs="Times New Roman"/>
          <w:sz w:val="24"/>
          <w:szCs w:val="24"/>
        </w:rPr>
      </w:pPr>
    </w:p>
    <w:sectPr w:rsidR="00BF0F7D" w:rsidRPr="003622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78B4E" w14:textId="77777777" w:rsidR="000E7EA8" w:rsidRDefault="000E7EA8" w:rsidP="002F7FD7">
      <w:pPr>
        <w:spacing w:after="0" w:line="240" w:lineRule="auto"/>
      </w:pPr>
      <w:r>
        <w:separator/>
      </w:r>
    </w:p>
  </w:endnote>
  <w:endnote w:type="continuationSeparator" w:id="0">
    <w:p w14:paraId="1478FA45" w14:textId="77777777" w:rsidR="000E7EA8" w:rsidRDefault="000E7EA8" w:rsidP="002F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879D6" w14:textId="77777777" w:rsidR="000E7EA8" w:rsidRDefault="000E7EA8" w:rsidP="002F7FD7">
      <w:pPr>
        <w:spacing w:after="0" w:line="240" w:lineRule="auto"/>
      </w:pPr>
      <w:r>
        <w:separator/>
      </w:r>
    </w:p>
  </w:footnote>
  <w:footnote w:type="continuationSeparator" w:id="0">
    <w:p w14:paraId="36CB2B91" w14:textId="77777777" w:rsidR="000E7EA8" w:rsidRDefault="000E7EA8" w:rsidP="002F7FD7">
      <w:pPr>
        <w:spacing w:after="0" w:line="240" w:lineRule="auto"/>
      </w:pPr>
      <w:r>
        <w:continuationSeparator/>
      </w:r>
    </w:p>
  </w:footnote>
  <w:footnote w:id="1">
    <w:p w14:paraId="038E2B3D" w14:textId="77777777" w:rsidR="006903F9" w:rsidRPr="006903F9" w:rsidRDefault="006903F9" w:rsidP="006903F9">
      <w:pPr>
        <w:pStyle w:val="FootnoteText"/>
        <w:spacing w:after="240"/>
        <w:ind w:firstLine="720"/>
        <w:rPr>
          <w:rFonts w:ascii="Times New Roman" w:hAnsi="Times New Roman" w:cs="Times New Roman"/>
        </w:rPr>
      </w:pPr>
      <w:r>
        <w:rPr>
          <w:rStyle w:val="FootnoteReference"/>
        </w:rPr>
        <w:footnoteRef/>
      </w:r>
      <w:r>
        <w:t xml:space="preserve"> </w:t>
      </w:r>
      <w:r w:rsidRPr="006903F9">
        <w:rPr>
          <w:rFonts w:ascii="Times New Roman" w:hAnsi="Times New Roman" w:cs="Times New Roman"/>
          <w:color w:val="212529"/>
        </w:rPr>
        <w:t>Winfried Corduan, </w:t>
      </w:r>
      <w:r w:rsidRPr="006903F9">
        <w:rPr>
          <w:rStyle w:val="Emphasis"/>
          <w:rFonts w:ascii="Times New Roman" w:hAnsi="Times New Roman" w:cs="Times New Roman"/>
          <w:color w:val="212529"/>
        </w:rPr>
        <w:t>Neighboring Faiths: A Christian Introduction to World Religions</w:t>
      </w:r>
      <w:r w:rsidRPr="006903F9">
        <w:rPr>
          <w:rFonts w:ascii="Times New Roman" w:hAnsi="Times New Roman" w:cs="Times New Roman"/>
          <w:color w:val="212529"/>
        </w:rPr>
        <w:t>. 2nd ed. (Downers Grove: InterVarsity Press, 2012), 398.</w:t>
      </w:r>
    </w:p>
  </w:footnote>
  <w:footnote w:id="2">
    <w:p w14:paraId="2C675C45" w14:textId="3C3DADF1"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Einzelganger</w:t>
      </w:r>
      <w:r>
        <w:rPr>
          <w:rFonts w:ascii="Times New Roman" w:hAnsi="Times New Roman" w:cs="Times New Roman"/>
        </w:rPr>
        <w:t>,</w:t>
      </w:r>
      <w:r w:rsidRPr="006903F9">
        <w:rPr>
          <w:rFonts w:ascii="Times New Roman" w:hAnsi="Times New Roman" w:cs="Times New Roman"/>
        </w:rPr>
        <w:t xml:space="preserve"> “Taoism | The Philosophy of Flow” (Course video in APOL 525 at Liberty University, Lynchburg, VA, August 4, 2021).</w:t>
      </w:r>
    </w:p>
  </w:footnote>
  <w:footnote w:id="3">
    <w:p w14:paraId="71B25F59"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w:t>
      </w:r>
      <w:r w:rsidRPr="006903F9">
        <w:rPr>
          <w:rFonts w:ascii="Times New Roman" w:hAnsi="Times New Roman" w:cs="Times New Roman"/>
          <w:color w:val="212529"/>
        </w:rPr>
        <w:t>Corduan, </w:t>
      </w:r>
      <w:r w:rsidRPr="006903F9">
        <w:rPr>
          <w:rStyle w:val="Emphasis"/>
          <w:rFonts w:ascii="Times New Roman" w:hAnsi="Times New Roman" w:cs="Times New Roman"/>
          <w:color w:val="212529"/>
        </w:rPr>
        <w:t>Neighboring Faiths,</w:t>
      </w:r>
      <w:r w:rsidRPr="006903F9">
        <w:rPr>
          <w:rFonts w:ascii="Times New Roman" w:hAnsi="Times New Roman" w:cs="Times New Roman"/>
        </w:rPr>
        <w:t xml:space="preserve"> 398.</w:t>
      </w:r>
    </w:p>
  </w:footnote>
  <w:footnote w:id="4">
    <w:p w14:paraId="382B9F5F"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 398.</w:t>
      </w:r>
    </w:p>
  </w:footnote>
  <w:footnote w:id="5">
    <w:p w14:paraId="645D0FB2"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 398.</w:t>
      </w:r>
    </w:p>
  </w:footnote>
  <w:footnote w:id="6">
    <w:p w14:paraId="61C9559B"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 399.</w:t>
      </w:r>
    </w:p>
  </w:footnote>
  <w:footnote w:id="7">
    <w:p w14:paraId="186C55EF"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 399.</w:t>
      </w:r>
    </w:p>
  </w:footnote>
  <w:footnote w:id="8">
    <w:p w14:paraId="7DD20F80" w14:textId="369E4299"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Einzelganger</w:t>
      </w:r>
      <w:r>
        <w:rPr>
          <w:rFonts w:ascii="Times New Roman" w:hAnsi="Times New Roman" w:cs="Times New Roman"/>
        </w:rPr>
        <w:t>,</w:t>
      </w:r>
      <w:r w:rsidRPr="006903F9">
        <w:rPr>
          <w:rFonts w:ascii="Times New Roman" w:hAnsi="Times New Roman" w:cs="Times New Roman"/>
        </w:rPr>
        <w:t xml:space="preserve"> “Taoism | The Philosophy of Flow” (Course video in APOL 525 at Liberty University, Lynchburg, VA, August 4, 2021).</w:t>
      </w:r>
    </w:p>
  </w:footnote>
  <w:footnote w:id="9">
    <w:p w14:paraId="55E32E3B"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 399.</w:t>
      </w:r>
    </w:p>
  </w:footnote>
  <w:footnote w:id="10">
    <w:p w14:paraId="34DA4288" w14:textId="77777777"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Einzelganger. “Taoism | The Philosophy of Flow”</w:t>
      </w:r>
    </w:p>
  </w:footnote>
  <w:footnote w:id="11">
    <w:p w14:paraId="2F99B9D7" w14:textId="63B4CCEE" w:rsidR="006903F9" w:rsidRPr="006903F9" w:rsidRDefault="006903F9" w:rsidP="006903F9">
      <w:pPr>
        <w:pStyle w:val="FootnoteText"/>
        <w:spacing w:after="240"/>
        <w:ind w:firstLine="720"/>
        <w:rPr>
          <w:rFonts w:ascii="Times New Roman" w:hAnsi="Times New Roman" w:cs="Times New Roman"/>
        </w:rPr>
      </w:pPr>
      <w:r w:rsidRPr="006903F9">
        <w:rPr>
          <w:rStyle w:val="FootnoteReference"/>
          <w:rFonts w:ascii="Times New Roman" w:hAnsi="Times New Roman" w:cs="Times New Roman"/>
        </w:rPr>
        <w:footnoteRef/>
      </w:r>
      <w:r w:rsidRPr="006903F9">
        <w:rPr>
          <w:rFonts w:ascii="Times New Roman" w:hAnsi="Times New Roman" w:cs="Times New Roman"/>
        </w:rPr>
        <w:t xml:space="preserve"> Ibid.</w:t>
      </w:r>
    </w:p>
  </w:footnote>
  <w:footnote w:id="12">
    <w:p w14:paraId="4AD2485D" w14:textId="38E2EBF3" w:rsidR="006903F9" w:rsidRPr="006903F9" w:rsidRDefault="006903F9" w:rsidP="006903F9">
      <w:pPr>
        <w:spacing w:before="240" w:after="240" w:line="240" w:lineRule="auto"/>
        <w:ind w:firstLine="720"/>
        <w:rPr>
          <w:rFonts w:ascii="Times New Roman" w:hAnsi="Times New Roman" w:cs="Times New Roman"/>
          <w:sz w:val="20"/>
          <w:szCs w:val="20"/>
        </w:rPr>
      </w:pPr>
      <w:r w:rsidRPr="006903F9">
        <w:rPr>
          <w:rStyle w:val="FootnoteReference"/>
          <w:rFonts w:ascii="Times New Roman" w:hAnsi="Times New Roman" w:cs="Times New Roman"/>
          <w:sz w:val="20"/>
          <w:szCs w:val="20"/>
        </w:rPr>
        <w:footnoteRef/>
      </w:r>
      <w:r w:rsidRPr="006903F9">
        <w:rPr>
          <w:rFonts w:ascii="Times New Roman" w:hAnsi="Times New Roman" w:cs="Times New Roman"/>
          <w:sz w:val="20"/>
          <w:szCs w:val="20"/>
        </w:rPr>
        <w:t>Ibid.</w:t>
      </w:r>
    </w:p>
  </w:footnote>
  <w:footnote w:id="13">
    <w:p w14:paraId="1023FA35" w14:textId="77777777" w:rsidR="006903F9" w:rsidRDefault="006903F9" w:rsidP="006903F9">
      <w:pPr>
        <w:pStyle w:val="FootnoteText"/>
        <w:ind w:firstLine="720"/>
      </w:pPr>
      <w:r>
        <w:rPr>
          <w:rStyle w:val="FootnoteReference"/>
        </w:rPr>
        <w:footnoteRef/>
      </w:r>
      <w:r>
        <w:t xml:space="preserve"> </w:t>
      </w:r>
      <w:r w:rsidRPr="006F2FE2">
        <w:rPr>
          <w:rFonts w:ascii="Times New Roman" w:hAnsi="Times New Roman" w:cs="Times New Roman"/>
          <w:color w:val="212529"/>
        </w:rPr>
        <w:t>Corduan, </w:t>
      </w:r>
      <w:r w:rsidRPr="006F2FE2">
        <w:rPr>
          <w:rStyle w:val="Emphasis"/>
          <w:rFonts w:ascii="Times New Roman" w:hAnsi="Times New Roman" w:cs="Times New Roman"/>
          <w:color w:val="212529"/>
        </w:rPr>
        <w:t>Neighboring Faiths</w:t>
      </w:r>
      <w:r>
        <w:rPr>
          <w:rStyle w:val="Emphasis"/>
          <w:rFonts w:ascii="Times New Roman" w:hAnsi="Times New Roman" w:cs="Times New Roman"/>
          <w:color w:val="212529"/>
        </w:rPr>
        <w:t>,</w:t>
      </w:r>
      <w:r>
        <w:t xml:space="preserve"> 419.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D2"/>
    <w:rsid w:val="000E7EA8"/>
    <w:rsid w:val="002B1426"/>
    <w:rsid w:val="002F7FD7"/>
    <w:rsid w:val="0030633D"/>
    <w:rsid w:val="003622C4"/>
    <w:rsid w:val="00380BD2"/>
    <w:rsid w:val="003D1386"/>
    <w:rsid w:val="004C064E"/>
    <w:rsid w:val="004D29AE"/>
    <w:rsid w:val="004F16C0"/>
    <w:rsid w:val="00513A16"/>
    <w:rsid w:val="00586799"/>
    <w:rsid w:val="00610BA8"/>
    <w:rsid w:val="00654256"/>
    <w:rsid w:val="006903F9"/>
    <w:rsid w:val="007B66AE"/>
    <w:rsid w:val="0084082E"/>
    <w:rsid w:val="008703D4"/>
    <w:rsid w:val="0089130F"/>
    <w:rsid w:val="008D5646"/>
    <w:rsid w:val="009E6968"/>
    <w:rsid w:val="00A2283B"/>
    <w:rsid w:val="00A84A14"/>
    <w:rsid w:val="00B30257"/>
    <w:rsid w:val="00BB6D5D"/>
    <w:rsid w:val="00BF0F7D"/>
    <w:rsid w:val="00CD50FE"/>
    <w:rsid w:val="00E10B45"/>
    <w:rsid w:val="00EA7646"/>
    <w:rsid w:val="00EC3B71"/>
    <w:rsid w:val="00F5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32865"/>
  <w15:chartTrackingRefBased/>
  <w15:docId w15:val="{CAC27E33-7CF8-4649-8160-8C3387B7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F7F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7FD7"/>
    <w:rPr>
      <w:sz w:val="20"/>
      <w:szCs w:val="20"/>
    </w:rPr>
  </w:style>
  <w:style w:type="character" w:styleId="FootnoteReference">
    <w:name w:val="footnote reference"/>
    <w:basedOn w:val="DefaultParagraphFont"/>
    <w:uiPriority w:val="99"/>
    <w:semiHidden/>
    <w:unhideWhenUsed/>
    <w:rsid w:val="002F7FD7"/>
    <w:rPr>
      <w:vertAlign w:val="superscript"/>
    </w:rPr>
  </w:style>
  <w:style w:type="character" w:styleId="Emphasis">
    <w:name w:val="Emphasis"/>
    <w:basedOn w:val="DefaultParagraphFont"/>
    <w:uiPriority w:val="20"/>
    <w:qFormat/>
    <w:rsid w:val="002F7FD7"/>
    <w:rPr>
      <w:i/>
      <w:iCs/>
    </w:rPr>
  </w:style>
  <w:style w:type="paragraph" w:styleId="NormalWeb">
    <w:name w:val="Normal (Web)"/>
    <w:basedOn w:val="Normal"/>
    <w:uiPriority w:val="99"/>
    <w:unhideWhenUsed/>
    <w:rsid w:val="003622C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03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9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B0E1FB-D433-429C-84D0-E199F291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2021-08-04T22:30:00Z</dcterms:created>
  <dcterms:modified xsi:type="dcterms:W3CDTF">2021-08-06T20:17:00Z</dcterms:modified>
</cp:coreProperties>
</file>