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5DCD9" w14:textId="39037738" w:rsidR="00B738A5" w:rsidRDefault="00E95010" w:rsidP="00C62741">
      <w:pPr>
        <w:ind w:firstLine="720"/>
      </w:pPr>
      <w:r>
        <w:t>Blake, I enjoyed reading your post. Thank you so much for sharing your experiences and encounters with ATR worshippers. Specifically, I am happy to hear that you have experienced these things in Kenya, where I live. That said, I wanted to commend you for allowing God to use you to reach out to an ATR person. Concerning your observation, I couldn’t say it better. Witchcraft is a popular thing in certain Kenyan tribes. From experience, I find the African Traditional Religion is deeply rooted in magic and witchcraft. Most people practicing the religion do not consider witchcraft as a bad thing as we from Christian circles would like them to do. Instead, they see witchcraft as a remedy. When a person loses something to theft or gets sick, they run to a witch doctor to seek help. The point is that witchcraft offers protection. Winfried observes, “So-called good magic is intended for the betterment of the community and its membership.”</w:t>
      </w:r>
      <w:r w:rsidR="00C62741" w:rsidRPr="00C62741">
        <w:rPr>
          <w:rStyle w:val="FootnoteReference"/>
        </w:rPr>
        <w:t xml:space="preserve"> </w:t>
      </w:r>
      <w:r w:rsidR="00C62741">
        <w:rPr>
          <w:rStyle w:val="FootnoteReference"/>
        </w:rPr>
        <w:footnoteReference w:id="1"/>
      </w:r>
      <w:r>
        <w:t xml:space="preserve"> That’s why you will find witchcraft paraphernalia in the form of an amulet bracelet that one might see tied around children’s wrists, necks, and waists. When viewed from that angle, we see that witchcraft is idolatry. It demands the trust that only is due to God. To better reach out to ATR worshippers, </w:t>
      </w:r>
      <w:proofErr w:type="gramStart"/>
      <w:r>
        <w:t>Christians</w:t>
      </w:r>
      <w:proofErr w:type="gramEnd"/>
      <w:r>
        <w:t xml:space="preserve"> ought to demonstrate God's superior qualities.</w:t>
      </w:r>
    </w:p>
    <w:sectPr w:rsidR="00B738A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BACFE" w14:textId="77777777" w:rsidR="00FE47C2" w:rsidRDefault="00FE47C2" w:rsidP="009D4B5C">
      <w:pPr>
        <w:spacing w:after="0" w:line="240" w:lineRule="auto"/>
      </w:pPr>
      <w:r>
        <w:separator/>
      </w:r>
    </w:p>
  </w:endnote>
  <w:endnote w:type="continuationSeparator" w:id="0">
    <w:p w14:paraId="6BEECB8D" w14:textId="77777777" w:rsidR="00FE47C2" w:rsidRDefault="00FE47C2" w:rsidP="009D4B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BF9E64" w14:textId="77777777" w:rsidR="00FE47C2" w:rsidRDefault="00FE47C2" w:rsidP="009D4B5C">
      <w:pPr>
        <w:spacing w:after="0" w:line="240" w:lineRule="auto"/>
      </w:pPr>
      <w:r>
        <w:separator/>
      </w:r>
    </w:p>
  </w:footnote>
  <w:footnote w:type="continuationSeparator" w:id="0">
    <w:p w14:paraId="23DC317E" w14:textId="77777777" w:rsidR="00FE47C2" w:rsidRDefault="00FE47C2" w:rsidP="009D4B5C">
      <w:pPr>
        <w:spacing w:after="0" w:line="240" w:lineRule="auto"/>
      </w:pPr>
      <w:r>
        <w:continuationSeparator/>
      </w:r>
    </w:p>
  </w:footnote>
  <w:footnote w:id="1">
    <w:p w14:paraId="67978A1A" w14:textId="77777777" w:rsidR="00C62741" w:rsidRDefault="00C62741" w:rsidP="00C62741">
      <w:pPr>
        <w:pStyle w:val="FootnoteText"/>
      </w:pPr>
      <w:r>
        <w:rPr>
          <w:rStyle w:val="FootnoteReference"/>
        </w:rPr>
        <w:footnoteRef/>
      </w:r>
      <w:r>
        <w:t xml:space="preserve"> </w:t>
      </w:r>
      <w:r w:rsidRPr="00D579D1">
        <w:rPr>
          <w:color w:val="212529"/>
        </w:rPr>
        <w:t>Winfried Corduan, </w:t>
      </w:r>
      <w:r w:rsidRPr="00D579D1">
        <w:rPr>
          <w:rStyle w:val="Emphasis"/>
          <w:color w:val="212529"/>
        </w:rPr>
        <w:t>Neighboring Faiths: A Christian Introduction to World Religions</w:t>
      </w:r>
      <w:r w:rsidRPr="00D579D1">
        <w:rPr>
          <w:color w:val="212529"/>
        </w:rPr>
        <w:t>. 2nd ed. (Downers Grove: InterVarsity Press, 2012),</w:t>
      </w:r>
      <w:r>
        <w:rPr>
          <w:color w:val="212529"/>
        </w:rPr>
        <w:t xml:space="preserve"> 209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8A5"/>
    <w:rsid w:val="000A64C3"/>
    <w:rsid w:val="001527C7"/>
    <w:rsid w:val="001D5588"/>
    <w:rsid w:val="007E4F0C"/>
    <w:rsid w:val="009D4B5C"/>
    <w:rsid w:val="00B738A5"/>
    <w:rsid w:val="00C12B07"/>
    <w:rsid w:val="00C62741"/>
    <w:rsid w:val="00E95010"/>
    <w:rsid w:val="00FE4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6A2C1"/>
  <w15:chartTrackingRefBased/>
  <w15:docId w15:val="{5B0BC0BE-6D5D-4761-9AA5-FCE5BA624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D4B5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4B5C"/>
    <w:rPr>
      <w:sz w:val="20"/>
      <w:szCs w:val="20"/>
    </w:rPr>
  </w:style>
  <w:style w:type="character" w:styleId="FootnoteReference">
    <w:name w:val="footnote reference"/>
    <w:basedOn w:val="DefaultParagraphFont"/>
    <w:uiPriority w:val="99"/>
    <w:semiHidden/>
    <w:unhideWhenUsed/>
    <w:rsid w:val="009D4B5C"/>
    <w:rPr>
      <w:vertAlign w:val="superscript"/>
    </w:rPr>
  </w:style>
  <w:style w:type="character" w:styleId="Emphasis">
    <w:name w:val="Emphasis"/>
    <w:basedOn w:val="DefaultParagraphFont"/>
    <w:uiPriority w:val="20"/>
    <w:qFormat/>
    <w:rsid w:val="009D4B5C"/>
    <w:rPr>
      <w:i/>
      <w:iCs/>
    </w:rPr>
  </w:style>
  <w:style w:type="character" w:styleId="Hyperlink">
    <w:name w:val="Hyperlink"/>
    <w:basedOn w:val="DefaultParagraphFont"/>
    <w:uiPriority w:val="99"/>
    <w:semiHidden/>
    <w:unhideWhenUsed/>
    <w:rsid w:val="00E950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895A0C52-9E08-4124-B407-51C0D1C2E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195</Words>
  <Characters>1113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2021-08-14T15:56:00Z</dcterms:created>
  <dcterms:modified xsi:type="dcterms:W3CDTF">2021-08-14T17:24:00Z</dcterms:modified>
</cp:coreProperties>
</file>