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10CAB" w:rsidRDefault="00DF7AA0" w:rsidP="00DF7AA0">
      <w:pPr>
        <w:rPr>
          <w:rFonts w:cs="Times New Roman"/>
          <w:szCs w:val="24"/>
        </w:rPr>
      </w:pPr>
    </w:p>
    <w:p w14:paraId="25B3138F" w14:textId="77777777" w:rsidR="00DF7AA0" w:rsidRPr="00810CAB" w:rsidRDefault="00DF7AA0" w:rsidP="00DF7AA0">
      <w:pPr>
        <w:rPr>
          <w:rFonts w:cs="Times New Roman"/>
          <w:szCs w:val="24"/>
        </w:rPr>
      </w:pPr>
    </w:p>
    <w:p w14:paraId="62022353" w14:textId="77777777" w:rsidR="00DF7AA0" w:rsidRPr="00810CAB" w:rsidRDefault="00DF7AA0" w:rsidP="00DF7AA0">
      <w:pPr>
        <w:jc w:val="center"/>
        <w:rPr>
          <w:rFonts w:cs="Times New Roman"/>
          <w:szCs w:val="24"/>
        </w:rPr>
      </w:pPr>
    </w:p>
    <w:p w14:paraId="4EC10BDB" w14:textId="77777777" w:rsidR="000C2FB6" w:rsidRPr="00810CAB" w:rsidRDefault="000C2FB6" w:rsidP="000C2FB6">
      <w:pPr>
        <w:jc w:val="cente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810CAB">
        <w:rPr>
          <w:rFonts w:cs="Times New Roman"/>
          <w:szCs w:val="24"/>
        </w:rPr>
        <w:t>LIBERTY UNIVERSITY</w:t>
      </w:r>
    </w:p>
    <w:p w14:paraId="5EF0BF4D" w14:textId="77777777" w:rsidR="000C2FB6" w:rsidRPr="00810CAB" w:rsidRDefault="000C2FB6" w:rsidP="000C2FB6">
      <w:pPr>
        <w:jc w:val="center"/>
        <w:rPr>
          <w:rFonts w:cs="Times New Roman"/>
          <w:szCs w:val="24"/>
        </w:rPr>
      </w:pPr>
      <w:r w:rsidRPr="00810CAB">
        <w:rPr>
          <w:rFonts w:cs="Times New Roman"/>
          <w:szCs w:val="24"/>
        </w:rPr>
        <w:t xml:space="preserve">JOHN W. RAWLINGS SCHOOL OF DIVINITY </w:t>
      </w:r>
    </w:p>
    <w:p w14:paraId="54E7D8A5" w14:textId="77777777" w:rsidR="000C2FB6" w:rsidRPr="00810CAB" w:rsidRDefault="000C2FB6" w:rsidP="000C2FB6">
      <w:pPr>
        <w:jc w:val="center"/>
        <w:rPr>
          <w:rFonts w:cs="Times New Roman"/>
          <w:szCs w:val="24"/>
        </w:rPr>
      </w:pPr>
    </w:p>
    <w:p w14:paraId="5D6F0C74" w14:textId="77777777" w:rsidR="000C2FB6" w:rsidRPr="00810CAB" w:rsidRDefault="000C2FB6" w:rsidP="000C2FB6">
      <w:pPr>
        <w:rPr>
          <w:rFonts w:cs="Times New Roman"/>
          <w:szCs w:val="24"/>
        </w:rPr>
      </w:pPr>
    </w:p>
    <w:p w14:paraId="47F87442" w14:textId="3F77D1FA" w:rsidR="00B216BD" w:rsidRPr="00810CAB" w:rsidRDefault="004F1E5C" w:rsidP="004F1E5C">
      <w:pPr>
        <w:jc w:val="center"/>
        <w:rPr>
          <w:rFonts w:cs="Times New Roman"/>
          <w:szCs w:val="24"/>
        </w:rPr>
      </w:pPr>
      <w:r w:rsidRPr="004F1E5C">
        <w:rPr>
          <w:rFonts w:cs="Times New Roman"/>
          <w:b/>
          <w:bCs/>
          <w:szCs w:val="24"/>
        </w:rPr>
        <w:t>World Religions Engagement Paper: Worship Service Observation Assignment</w:t>
      </w:r>
    </w:p>
    <w:p w14:paraId="1380B3F7" w14:textId="4B84C33A" w:rsidR="00B216BD" w:rsidRPr="00810CAB" w:rsidRDefault="00B216BD" w:rsidP="000C2FB6">
      <w:pPr>
        <w:rPr>
          <w:rFonts w:cs="Times New Roman"/>
          <w:szCs w:val="24"/>
        </w:rPr>
      </w:pPr>
    </w:p>
    <w:p w14:paraId="3F426043" w14:textId="77777777" w:rsidR="00B216BD" w:rsidRPr="00810CAB" w:rsidRDefault="00B216BD" w:rsidP="000C2FB6">
      <w:pPr>
        <w:rPr>
          <w:rFonts w:cs="Times New Roman"/>
          <w:szCs w:val="24"/>
        </w:rPr>
      </w:pPr>
    </w:p>
    <w:p w14:paraId="1E138855" w14:textId="795F6344" w:rsidR="000C2FB6" w:rsidRPr="00810CAB" w:rsidRDefault="000C2FB6" w:rsidP="000C2FB6">
      <w:pPr>
        <w:jc w:val="center"/>
        <w:rPr>
          <w:rFonts w:cs="Times New Roman"/>
          <w:szCs w:val="24"/>
        </w:rPr>
      </w:pPr>
      <w:r w:rsidRPr="00810CAB">
        <w:rPr>
          <w:rFonts w:cs="Times New Roman"/>
          <w:szCs w:val="24"/>
        </w:rPr>
        <w:t xml:space="preserve">Submitted to Dr </w:t>
      </w:r>
      <w:r w:rsidR="004F1E5C">
        <w:rPr>
          <w:rFonts w:cs="Times New Roman"/>
          <w:szCs w:val="24"/>
        </w:rPr>
        <w:t>David Campbell</w:t>
      </w:r>
    </w:p>
    <w:p w14:paraId="6E61F74C" w14:textId="77777777" w:rsidR="000C2FB6" w:rsidRPr="00810CAB" w:rsidRDefault="000C2FB6" w:rsidP="000C2FB6">
      <w:pPr>
        <w:jc w:val="center"/>
        <w:rPr>
          <w:rFonts w:cs="Times New Roman"/>
          <w:szCs w:val="24"/>
        </w:rPr>
      </w:pPr>
      <w:r w:rsidRPr="00810CAB">
        <w:rPr>
          <w:rFonts w:cs="Times New Roman"/>
          <w:szCs w:val="24"/>
        </w:rPr>
        <w:t xml:space="preserve">in partial fulfillment of the requirements for the completion of </w:t>
      </w:r>
    </w:p>
    <w:p w14:paraId="3F591752" w14:textId="77777777" w:rsidR="000C2FB6" w:rsidRPr="00810CAB" w:rsidRDefault="000C2FB6" w:rsidP="000C2FB6">
      <w:pPr>
        <w:jc w:val="center"/>
        <w:rPr>
          <w:rFonts w:cs="Times New Roman"/>
          <w:szCs w:val="24"/>
        </w:rPr>
      </w:pPr>
    </w:p>
    <w:p w14:paraId="57E0703E" w14:textId="77777777" w:rsidR="000C2FB6" w:rsidRPr="00810CAB" w:rsidRDefault="000C2FB6" w:rsidP="000C2FB6">
      <w:pPr>
        <w:jc w:val="center"/>
        <w:rPr>
          <w:rFonts w:cs="Times New Roman"/>
          <w:szCs w:val="24"/>
        </w:rPr>
      </w:pPr>
    </w:p>
    <w:p w14:paraId="583ED0FD" w14:textId="6B4B9BB5" w:rsidR="000C2FB6" w:rsidRPr="00810CAB" w:rsidRDefault="004F1E5C" w:rsidP="000C2FB6">
      <w:pPr>
        <w:jc w:val="center"/>
        <w:rPr>
          <w:rFonts w:cs="Times New Roman"/>
          <w:szCs w:val="24"/>
        </w:rPr>
      </w:pPr>
      <w:r>
        <w:rPr>
          <w:rFonts w:cs="Times New Roman"/>
          <w:szCs w:val="24"/>
        </w:rPr>
        <w:t>APOL</w:t>
      </w:r>
      <w:r w:rsidR="000C2FB6" w:rsidRPr="00810CAB">
        <w:rPr>
          <w:rFonts w:cs="Times New Roman"/>
          <w:szCs w:val="24"/>
        </w:rPr>
        <w:t xml:space="preserve"> 525- </w:t>
      </w:r>
      <w:r>
        <w:rPr>
          <w:rFonts w:cs="Times New Roman"/>
          <w:szCs w:val="24"/>
        </w:rPr>
        <w:t>D</w:t>
      </w:r>
      <w:r w:rsidR="000C2FB6" w:rsidRPr="00810CAB">
        <w:rPr>
          <w:rFonts w:cs="Times New Roman"/>
          <w:szCs w:val="24"/>
        </w:rPr>
        <w:t>0</w:t>
      </w:r>
      <w:r>
        <w:rPr>
          <w:rFonts w:cs="Times New Roman"/>
          <w:szCs w:val="24"/>
        </w:rPr>
        <w:t>1</w:t>
      </w:r>
    </w:p>
    <w:p w14:paraId="7CE46B46" w14:textId="7CB51F1E" w:rsidR="000C2FB6" w:rsidRPr="00810CAB" w:rsidRDefault="004F1E5C" w:rsidP="000C2FB6">
      <w:pPr>
        <w:jc w:val="center"/>
        <w:rPr>
          <w:rFonts w:cs="Times New Roman"/>
          <w:szCs w:val="24"/>
        </w:rPr>
      </w:pPr>
      <w:r>
        <w:rPr>
          <w:rFonts w:cs="Times New Roman"/>
          <w:szCs w:val="24"/>
        </w:rPr>
        <w:t>Pluralism and World Religions</w:t>
      </w:r>
    </w:p>
    <w:p w14:paraId="61F455D0" w14:textId="77777777" w:rsidR="000C2FB6" w:rsidRPr="00810CAB" w:rsidRDefault="000C2FB6" w:rsidP="000C2FB6">
      <w:pPr>
        <w:jc w:val="center"/>
        <w:rPr>
          <w:rFonts w:cs="Times New Roman"/>
          <w:szCs w:val="24"/>
        </w:rPr>
      </w:pPr>
    </w:p>
    <w:p w14:paraId="758CF04A" w14:textId="77777777" w:rsidR="000C2FB6" w:rsidRPr="00810CAB" w:rsidRDefault="000C2FB6" w:rsidP="000C2FB6">
      <w:pPr>
        <w:jc w:val="center"/>
        <w:rPr>
          <w:rFonts w:cs="Times New Roman"/>
          <w:szCs w:val="24"/>
        </w:rPr>
      </w:pPr>
    </w:p>
    <w:p w14:paraId="3AEB3E05" w14:textId="77777777" w:rsidR="000C2FB6" w:rsidRPr="00810CAB" w:rsidRDefault="000C2FB6" w:rsidP="000C2FB6">
      <w:pPr>
        <w:jc w:val="center"/>
        <w:rPr>
          <w:rFonts w:cs="Times New Roman"/>
          <w:szCs w:val="24"/>
        </w:rPr>
      </w:pPr>
      <w:r w:rsidRPr="00810CAB">
        <w:rPr>
          <w:rFonts w:cs="Times New Roman"/>
          <w:szCs w:val="24"/>
        </w:rPr>
        <w:t>by</w:t>
      </w:r>
    </w:p>
    <w:p w14:paraId="6DB71876" w14:textId="77777777" w:rsidR="000C2FB6" w:rsidRPr="00810CAB" w:rsidRDefault="000C2FB6" w:rsidP="000C2FB6">
      <w:pPr>
        <w:rPr>
          <w:rFonts w:cs="Times New Roman"/>
          <w:szCs w:val="24"/>
        </w:rPr>
      </w:pPr>
    </w:p>
    <w:p w14:paraId="642F3F8F" w14:textId="53C61E3A" w:rsidR="000C2FB6" w:rsidRPr="00810CAB" w:rsidRDefault="000C2FB6" w:rsidP="00B216BD">
      <w:pPr>
        <w:jc w:val="center"/>
        <w:rPr>
          <w:rFonts w:cs="Times New Roman"/>
          <w:szCs w:val="24"/>
        </w:rPr>
      </w:pPr>
      <w:r w:rsidRPr="00810CAB">
        <w:rPr>
          <w:rFonts w:cs="Times New Roman"/>
          <w:szCs w:val="24"/>
        </w:rPr>
        <w:t>Kingsley O. Nyakagwa</w:t>
      </w:r>
    </w:p>
    <w:p w14:paraId="38EBBA6D" w14:textId="46CE6A19" w:rsidR="000C2FB6" w:rsidRPr="00810CAB" w:rsidRDefault="00AB05C0" w:rsidP="000C2FB6">
      <w:pPr>
        <w:jc w:val="center"/>
        <w:rPr>
          <w:rFonts w:cs="Times New Roman"/>
          <w:szCs w:val="24"/>
        </w:rPr>
      </w:pPr>
      <w:bookmarkStart w:id="9" w:name="__RefHeading___Toc523_3372919366"/>
      <w:bookmarkStart w:id="10" w:name="__RefHeading___Toc305_3372919366"/>
      <w:bookmarkEnd w:id="9"/>
      <w:bookmarkEnd w:id="10"/>
      <w:r w:rsidRPr="00810CAB">
        <w:rPr>
          <w:rFonts w:cs="Times New Roman"/>
          <w:szCs w:val="24"/>
        </w:rPr>
        <w:t xml:space="preserve">July </w:t>
      </w:r>
      <w:r w:rsidR="004F1E5C">
        <w:rPr>
          <w:rFonts w:cs="Times New Roman"/>
          <w:szCs w:val="24"/>
        </w:rPr>
        <w:t>18</w:t>
      </w:r>
      <w:r w:rsidR="000C2FB6" w:rsidRPr="00810CAB">
        <w:rPr>
          <w:rFonts w:cs="Times New Roman"/>
          <w:szCs w:val="24"/>
        </w:rPr>
        <w:t>, 2021</w:t>
      </w:r>
    </w:p>
    <w:bookmarkStart w:id="11" w:name="_Toc77552300" w:displacedByCustomXml="next"/>
    <w:bookmarkStart w:id="12" w:name="_Toc77544925" w:displacedByCustomXml="next"/>
    <w:bookmarkStart w:id="13" w:name="_Toc73326369" w:displacedByCustomXml="next"/>
    <w:bookmarkStart w:id="14" w:name="_Toc76513000" w:displacedByCustomXml="next"/>
    <w:bookmarkStart w:id="15" w:name="_Toc76732062" w:displacedByCustomXml="next"/>
    <w:sdt>
      <w:sdtPr>
        <w:rPr>
          <w:rFonts w:eastAsiaTheme="minorHAnsi" w:cs="Times New Roman"/>
          <w:color w:val="auto"/>
          <w:szCs w:val="22"/>
        </w:rPr>
        <w:id w:val="-2119129730"/>
        <w:docPartObj>
          <w:docPartGallery w:val="Table of Contents"/>
          <w:docPartUnique/>
        </w:docPartObj>
      </w:sdtPr>
      <w:sdtEndPr>
        <w:rPr>
          <w:b w:val="0"/>
          <w:bCs/>
          <w:noProof/>
          <w:szCs w:val="24"/>
        </w:rPr>
      </w:sdtEndPr>
      <w:sdtContent>
        <w:p w14:paraId="19D049DD" w14:textId="77777777" w:rsidR="004F5C98" w:rsidRPr="004F5C98" w:rsidRDefault="00DF7AA0" w:rsidP="004F5C98">
          <w:pPr>
            <w:pStyle w:val="Heading1"/>
            <w:spacing w:before="240" w:line="240" w:lineRule="auto"/>
            <w:rPr>
              <w:rFonts w:cs="Times New Roman"/>
              <w:noProof/>
            </w:rPr>
          </w:pPr>
          <w:r w:rsidRPr="004F5C98">
            <w:rPr>
              <w:rFonts w:cs="Times New Roman"/>
            </w:rPr>
            <w:t>Contents</w:t>
          </w:r>
          <w:bookmarkEnd w:id="0"/>
          <w:bookmarkEnd w:id="1"/>
          <w:bookmarkEnd w:id="2"/>
          <w:bookmarkEnd w:id="3"/>
          <w:bookmarkEnd w:id="4"/>
          <w:bookmarkEnd w:id="5"/>
          <w:bookmarkEnd w:id="6"/>
          <w:bookmarkEnd w:id="7"/>
          <w:bookmarkEnd w:id="8"/>
          <w:bookmarkEnd w:id="15"/>
          <w:bookmarkEnd w:id="14"/>
          <w:bookmarkEnd w:id="13"/>
          <w:bookmarkEnd w:id="12"/>
          <w:bookmarkEnd w:id="11"/>
          <w:r w:rsidRPr="004F5C98">
            <w:rPr>
              <w:rFonts w:eastAsia="Century Gothic" w:cs="Times New Roman"/>
            </w:rPr>
            <w:fldChar w:fldCharType="begin"/>
          </w:r>
          <w:r w:rsidRPr="004F5C98">
            <w:rPr>
              <w:rFonts w:cs="Times New Roman"/>
            </w:rPr>
            <w:instrText xml:space="preserve"> TOC \o "1-3" \h \z \u </w:instrText>
          </w:r>
          <w:r w:rsidRPr="004F5C98">
            <w:rPr>
              <w:rFonts w:eastAsia="Century Gothic" w:cs="Times New Roman"/>
            </w:rPr>
            <w:fldChar w:fldCharType="separate"/>
          </w:r>
        </w:p>
        <w:p w14:paraId="4A3A7D64" w14:textId="3AB643A7" w:rsidR="004F5C98" w:rsidRPr="004F5C98" w:rsidRDefault="004F5C98" w:rsidP="004F5C98">
          <w:pPr>
            <w:pStyle w:val="TOC1"/>
            <w:tabs>
              <w:tab w:val="right" w:leader="dot" w:pos="9350"/>
            </w:tabs>
            <w:spacing w:before="240"/>
            <w:rPr>
              <w:rFonts w:ascii="Times New Roman" w:eastAsiaTheme="minorEastAsia" w:hAnsi="Times New Roman" w:cs="Times New Roman"/>
              <w:b/>
              <w:bCs/>
              <w:noProof/>
              <w:sz w:val="22"/>
              <w:szCs w:val="22"/>
            </w:rPr>
          </w:pPr>
          <w:hyperlink w:anchor="_Toc77552301" w:history="1">
            <w:r w:rsidRPr="004F5C98">
              <w:rPr>
                <w:rStyle w:val="Hyperlink"/>
                <w:rFonts w:ascii="Times New Roman" w:hAnsi="Times New Roman" w:cs="Times New Roman"/>
                <w:b/>
                <w:bCs/>
                <w:noProof/>
              </w:rPr>
              <w:t>Introduction</w:t>
            </w:r>
            <w:r w:rsidRPr="004F5C98">
              <w:rPr>
                <w:rFonts w:ascii="Times New Roman" w:hAnsi="Times New Roman" w:cs="Times New Roman"/>
                <w:b/>
                <w:bCs/>
                <w:noProof/>
                <w:webHidden/>
              </w:rPr>
              <w:tab/>
            </w:r>
            <w:r w:rsidRPr="004F5C98">
              <w:rPr>
                <w:rFonts w:ascii="Times New Roman" w:hAnsi="Times New Roman" w:cs="Times New Roman"/>
                <w:b/>
                <w:bCs/>
                <w:noProof/>
                <w:webHidden/>
              </w:rPr>
              <w:fldChar w:fldCharType="begin"/>
            </w:r>
            <w:r w:rsidRPr="004F5C98">
              <w:rPr>
                <w:rFonts w:ascii="Times New Roman" w:hAnsi="Times New Roman" w:cs="Times New Roman"/>
                <w:b/>
                <w:bCs/>
                <w:noProof/>
                <w:webHidden/>
              </w:rPr>
              <w:instrText xml:space="preserve"> PAGEREF _Toc77552301 \h </w:instrText>
            </w:r>
            <w:r w:rsidRPr="004F5C98">
              <w:rPr>
                <w:rFonts w:ascii="Times New Roman" w:hAnsi="Times New Roman" w:cs="Times New Roman"/>
                <w:b/>
                <w:bCs/>
                <w:noProof/>
                <w:webHidden/>
              </w:rPr>
            </w:r>
            <w:r w:rsidRPr="004F5C98">
              <w:rPr>
                <w:rFonts w:ascii="Times New Roman" w:hAnsi="Times New Roman" w:cs="Times New Roman"/>
                <w:b/>
                <w:bCs/>
                <w:noProof/>
                <w:webHidden/>
              </w:rPr>
              <w:fldChar w:fldCharType="separate"/>
            </w:r>
            <w:r w:rsidRPr="004F5C98">
              <w:rPr>
                <w:rFonts w:ascii="Times New Roman" w:hAnsi="Times New Roman" w:cs="Times New Roman"/>
                <w:b/>
                <w:bCs/>
                <w:noProof/>
                <w:webHidden/>
              </w:rPr>
              <w:t>1</w:t>
            </w:r>
            <w:r w:rsidRPr="004F5C98">
              <w:rPr>
                <w:rFonts w:ascii="Times New Roman" w:hAnsi="Times New Roman" w:cs="Times New Roman"/>
                <w:b/>
                <w:bCs/>
                <w:noProof/>
                <w:webHidden/>
              </w:rPr>
              <w:fldChar w:fldCharType="end"/>
            </w:r>
          </w:hyperlink>
        </w:p>
        <w:p w14:paraId="40E93594" w14:textId="43EC3F0C" w:rsidR="004F5C98" w:rsidRPr="004F5C98" w:rsidRDefault="004F5C98" w:rsidP="004F5C98">
          <w:pPr>
            <w:pStyle w:val="TOC1"/>
            <w:tabs>
              <w:tab w:val="right" w:leader="dot" w:pos="9350"/>
            </w:tabs>
            <w:spacing w:before="240"/>
            <w:rPr>
              <w:rFonts w:ascii="Times New Roman" w:eastAsiaTheme="minorEastAsia" w:hAnsi="Times New Roman" w:cs="Times New Roman"/>
              <w:b/>
              <w:bCs/>
              <w:noProof/>
              <w:sz w:val="22"/>
              <w:szCs w:val="22"/>
            </w:rPr>
          </w:pPr>
          <w:hyperlink w:anchor="_Toc77552302" w:history="1">
            <w:r w:rsidRPr="004F5C98">
              <w:rPr>
                <w:rStyle w:val="Hyperlink"/>
                <w:rFonts w:ascii="Times New Roman" w:hAnsi="Times New Roman" w:cs="Times New Roman"/>
                <w:b/>
                <w:bCs/>
                <w:noProof/>
              </w:rPr>
              <w:t>Description of Islam</w:t>
            </w:r>
            <w:r w:rsidRPr="004F5C98">
              <w:rPr>
                <w:rFonts w:ascii="Times New Roman" w:hAnsi="Times New Roman" w:cs="Times New Roman"/>
                <w:b/>
                <w:bCs/>
                <w:noProof/>
                <w:webHidden/>
              </w:rPr>
              <w:tab/>
            </w:r>
            <w:r w:rsidRPr="004F5C98">
              <w:rPr>
                <w:rFonts w:ascii="Times New Roman" w:hAnsi="Times New Roman" w:cs="Times New Roman"/>
                <w:b/>
                <w:bCs/>
                <w:noProof/>
                <w:webHidden/>
              </w:rPr>
              <w:fldChar w:fldCharType="begin"/>
            </w:r>
            <w:r w:rsidRPr="004F5C98">
              <w:rPr>
                <w:rFonts w:ascii="Times New Roman" w:hAnsi="Times New Roman" w:cs="Times New Roman"/>
                <w:b/>
                <w:bCs/>
                <w:noProof/>
                <w:webHidden/>
              </w:rPr>
              <w:instrText xml:space="preserve"> PAGEREF _Toc77552302 \h </w:instrText>
            </w:r>
            <w:r w:rsidRPr="004F5C98">
              <w:rPr>
                <w:rFonts w:ascii="Times New Roman" w:hAnsi="Times New Roman" w:cs="Times New Roman"/>
                <w:b/>
                <w:bCs/>
                <w:noProof/>
                <w:webHidden/>
              </w:rPr>
            </w:r>
            <w:r w:rsidRPr="004F5C98">
              <w:rPr>
                <w:rFonts w:ascii="Times New Roman" w:hAnsi="Times New Roman" w:cs="Times New Roman"/>
                <w:b/>
                <w:bCs/>
                <w:noProof/>
                <w:webHidden/>
              </w:rPr>
              <w:fldChar w:fldCharType="separate"/>
            </w:r>
            <w:r w:rsidRPr="004F5C98">
              <w:rPr>
                <w:rFonts w:ascii="Times New Roman" w:hAnsi="Times New Roman" w:cs="Times New Roman"/>
                <w:b/>
                <w:bCs/>
                <w:noProof/>
                <w:webHidden/>
              </w:rPr>
              <w:t>2</w:t>
            </w:r>
            <w:r w:rsidRPr="004F5C98">
              <w:rPr>
                <w:rFonts w:ascii="Times New Roman" w:hAnsi="Times New Roman" w:cs="Times New Roman"/>
                <w:b/>
                <w:bCs/>
                <w:noProof/>
                <w:webHidden/>
              </w:rPr>
              <w:fldChar w:fldCharType="end"/>
            </w:r>
          </w:hyperlink>
        </w:p>
        <w:p w14:paraId="4DB936D9" w14:textId="0E05646C" w:rsidR="004F5C98" w:rsidRPr="004F5C98" w:rsidRDefault="004F5C98" w:rsidP="004F5C98">
          <w:pPr>
            <w:pStyle w:val="TOC2"/>
            <w:spacing w:before="240" w:line="240" w:lineRule="auto"/>
            <w:rPr>
              <w:rFonts w:eastAsiaTheme="minorEastAsia" w:cs="Times New Roman"/>
              <w:noProof/>
              <w:sz w:val="22"/>
            </w:rPr>
          </w:pPr>
          <w:hyperlink w:anchor="_Toc77552303" w:history="1">
            <w:r w:rsidRPr="004F5C98">
              <w:rPr>
                <w:rStyle w:val="Hyperlink"/>
                <w:rFonts w:cs="Times New Roman"/>
                <w:noProof/>
              </w:rPr>
              <w:t>History</w:t>
            </w:r>
            <w:r w:rsidRPr="004F5C98">
              <w:rPr>
                <w:rFonts w:cs="Times New Roman"/>
                <w:noProof/>
                <w:webHidden/>
              </w:rPr>
              <w:tab/>
            </w:r>
            <w:r w:rsidRPr="004F5C98">
              <w:rPr>
                <w:rFonts w:cs="Times New Roman"/>
                <w:noProof/>
                <w:webHidden/>
              </w:rPr>
              <w:fldChar w:fldCharType="begin"/>
            </w:r>
            <w:r w:rsidRPr="004F5C98">
              <w:rPr>
                <w:rFonts w:cs="Times New Roman"/>
                <w:noProof/>
                <w:webHidden/>
              </w:rPr>
              <w:instrText xml:space="preserve"> PAGEREF _Toc77552303 \h </w:instrText>
            </w:r>
            <w:r w:rsidRPr="004F5C98">
              <w:rPr>
                <w:rFonts w:cs="Times New Roman"/>
                <w:noProof/>
                <w:webHidden/>
              </w:rPr>
            </w:r>
            <w:r w:rsidRPr="004F5C98">
              <w:rPr>
                <w:rFonts w:cs="Times New Roman"/>
                <w:noProof/>
                <w:webHidden/>
              </w:rPr>
              <w:fldChar w:fldCharType="separate"/>
            </w:r>
            <w:r w:rsidRPr="004F5C98">
              <w:rPr>
                <w:rFonts w:cs="Times New Roman"/>
                <w:noProof/>
                <w:webHidden/>
              </w:rPr>
              <w:t>2</w:t>
            </w:r>
            <w:r w:rsidRPr="004F5C98">
              <w:rPr>
                <w:rFonts w:cs="Times New Roman"/>
                <w:noProof/>
                <w:webHidden/>
              </w:rPr>
              <w:fldChar w:fldCharType="end"/>
            </w:r>
          </w:hyperlink>
        </w:p>
        <w:p w14:paraId="5579F2A1" w14:textId="359779B9" w:rsidR="004F5C98" w:rsidRPr="004F5C98" w:rsidRDefault="004F5C98" w:rsidP="004F5C98">
          <w:pPr>
            <w:pStyle w:val="TOC2"/>
            <w:spacing w:before="240" w:line="240" w:lineRule="auto"/>
            <w:rPr>
              <w:rFonts w:eastAsiaTheme="minorEastAsia" w:cs="Times New Roman"/>
              <w:noProof/>
              <w:sz w:val="22"/>
            </w:rPr>
          </w:pPr>
          <w:hyperlink w:anchor="_Toc77552304" w:history="1">
            <w:r w:rsidRPr="004F5C98">
              <w:rPr>
                <w:rStyle w:val="Hyperlink"/>
                <w:rFonts w:cs="Times New Roman"/>
                <w:noProof/>
              </w:rPr>
              <w:t>Five Pillars of Islam</w:t>
            </w:r>
            <w:r w:rsidRPr="004F5C98">
              <w:rPr>
                <w:rFonts w:cs="Times New Roman"/>
                <w:noProof/>
                <w:webHidden/>
              </w:rPr>
              <w:tab/>
            </w:r>
            <w:r w:rsidRPr="004F5C98">
              <w:rPr>
                <w:rFonts w:cs="Times New Roman"/>
                <w:noProof/>
                <w:webHidden/>
              </w:rPr>
              <w:fldChar w:fldCharType="begin"/>
            </w:r>
            <w:r w:rsidRPr="004F5C98">
              <w:rPr>
                <w:rFonts w:cs="Times New Roman"/>
                <w:noProof/>
                <w:webHidden/>
              </w:rPr>
              <w:instrText xml:space="preserve"> PAGEREF _Toc77552304 \h </w:instrText>
            </w:r>
            <w:r w:rsidRPr="004F5C98">
              <w:rPr>
                <w:rFonts w:cs="Times New Roman"/>
                <w:noProof/>
                <w:webHidden/>
              </w:rPr>
            </w:r>
            <w:r w:rsidRPr="004F5C98">
              <w:rPr>
                <w:rFonts w:cs="Times New Roman"/>
                <w:noProof/>
                <w:webHidden/>
              </w:rPr>
              <w:fldChar w:fldCharType="separate"/>
            </w:r>
            <w:r w:rsidRPr="004F5C98">
              <w:rPr>
                <w:rFonts w:cs="Times New Roman"/>
                <w:noProof/>
                <w:webHidden/>
              </w:rPr>
              <w:t>3</w:t>
            </w:r>
            <w:r w:rsidRPr="004F5C98">
              <w:rPr>
                <w:rFonts w:cs="Times New Roman"/>
                <w:noProof/>
                <w:webHidden/>
              </w:rPr>
              <w:fldChar w:fldCharType="end"/>
            </w:r>
          </w:hyperlink>
        </w:p>
        <w:p w14:paraId="425DF57C" w14:textId="12BB5FE2" w:rsidR="004F5C98" w:rsidRPr="004F5C98" w:rsidRDefault="004F5C98" w:rsidP="004F5C98">
          <w:pPr>
            <w:pStyle w:val="TOC2"/>
            <w:spacing w:before="240" w:line="240" w:lineRule="auto"/>
            <w:rPr>
              <w:rFonts w:eastAsiaTheme="minorEastAsia" w:cs="Times New Roman"/>
              <w:noProof/>
              <w:sz w:val="22"/>
            </w:rPr>
          </w:pPr>
          <w:hyperlink w:anchor="_Toc77552305" w:history="1">
            <w:r w:rsidRPr="004F5C98">
              <w:rPr>
                <w:rStyle w:val="Hyperlink"/>
                <w:rFonts w:cs="Times New Roman"/>
                <w:noProof/>
              </w:rPr>
              <w:t>Other Essential Beliefs</w:t>
            </w:r>
            <w:r w:rsidRPr="004F5C98">
              <w:rPr>
                <w:rFonts w:cs="Times New Roman"/>
                <w:noProof/>
                <w:webHidden/>
              </w:rPr>
              <w:tab/>
            </w:r>
            <w:r w:rsidRPr="004F5C98">
              <w:rPr>
                <w:rFonts w:cs="Times New Roman"/>
                <w:noProof/>
                <w:webHidden/>
              </w:rPr>
              <w:fldChar w:fldCharType="begin"/>
            </w:r>
            <w:r w:rsidRPr="004F5C98">
              <w:rPr>
                <w:rFonts w:cs="Times New Roman"/>
                <w:noProof/>
                <w:webHidden/>
              </w:rPr>
              <w:instrText xml:space="preserve"> PAGEREF _Toc77552305 \h </w:instrText>
            </w:r>
            <w:r w:rsidRPr="004F5C98">
              <w:rPr>
                <w:rFonts w:cs="Times New Roman"/>
                <w:noProof/>
                <w:webHidden/>
              </w:rPr>
            </w:r>
            <w:r w:rsidRPr="004F5C98">
              <w:rPr>
                <w:rFonts w:cs="Times New Roman"/>
                <w:noProof/>
                <w:webHidden/>
              </w:rPr>
              <w:fldChar w:fldCharType="separate"/>
            </w:r>
            <w:r w:rsidRPr="004F5C98">
              <w:rPr>
                <w:rFonts w:cs="Times New Roman"/>
                <w:noProof/>
                <w:webHidden/>
              </w:rPr>
              <w:t>4</w:t>
            </w:r>
            <w:r w:rsidRPr="004F5C98">
              <w:rPr>
                <w:rFonts w:cs="Times New Roman"/>
                <w:noProof/>
                <w:webHidden/>
              </w:rPr>
              <w:fldChar w:fldCharType="end"/>
            </w:r>
          </w:hyperlink>
        </w:p>
        <w:p w14:paraId="299F7E93" w14:textId="7D1C4F45" w:rsidR="004F5C98" w:rsidRPr="004F5C98" w:rsidRDefault="004F5C98" w:rsidP="004F5C98">
          <w:pPr>
            <w:pStyle w:val="TOC2"/>
            <w:spacing w:before="240" w:line="240" w:lineRule="auto"/>
            <w:rPr>
              <w:rFonts w:eastAsiaTheme="minorEastAsia" w:cs="Times New Roman"/>
              <w:noProof/>
              <w:sz w:val="22"/>
            </w:rPr>
          </w:pPr>
          <w:hyperlink w:anchor="_Toc77552306" w:history="1">
            <w:r w:rsidRPr="004F5C98">
              <w:rPr>
                <w:rStyle w:val="Hyperlink"/>
                <w:rFonts w:cs="Times New Roman"/>
                <w:noProof/>
              </w:rPr>
              <w:t>Muslims Authority</w:t>
            </w:r>
            <w:r w:rsidRPr="004F5C98">
              <w:rPr>
                <w:rFonts w:cs="Times New Roman"/>
                <w:noProof/>
                <w:webHidden/>
              </w:rPr>
              <w:tab/>
            </w:r>
            <w:r w:rsidRPr="004F5C98">
              <w:rPr>
                <w:rFonts w:cs="Times New Roman"/>
                <w:noProof/>
                <w:webHidden/>
              </w:rPr>
              <w:fldChar w:fldCharType="begin"/>
            </w:r>
            <w:r w:rsidRPr="004F5C98">
              <w:rPr>
                <w:rFonts w:cs="Times New Roman"/>
                <w:noProof/>
                <w:webHidden/>
              </w:rPr>
              <w:instrText xml:space="preserve"> PAGEREF _Toc77552306 \h </w:instrText>
            </w:r>
            <w:r w:rsidRPr="004F5C98">
              <w:rPr>
                <w:rFonts w:cs="Times New Roman"/>
                <w:noProof/>
                <w:webHidden/>
              </w:rPr>
            </w:r>
            <w:r w:rsidRPr="004F5C98">
              <w:rPr>
                <w:rFonts w:cs="Times New Roman"/>
                <w:noProof/>
                <w:webHidden/>
              </w:rPr>
              <w:fldChar w:fldCharType="separate"/>
            </w:r>
            <w:r w:rsidRPr="004F5C98">
              <w:rPr>
                <w:rFonts w:cs="Times New Roman"/>
                <w:noProof/>
                <w:webHidden/>
              </w:rPr>
              <w:t>5</w:t>
            </w:r>
            <w:r w:rsidRPr="004F5C98">
              <w:rPr>
                <w:rFonts w:cs="Times New Roman"/>
                <w:noProof/>
                <w:webHidden/>
              </w:rPr>
              <w:fldChar w:fldCharType="end"/>
            </w:r>
          </w:hyperlink>
        </w:p>
        <w:p w14:paraId="66C78FC9" w14:textId="61566313" w:rsidR="004F5C98" w:rsidRPr="004F5C98" w:rsidRDefault="004F5C98" w:rsidP="004F5C98">
          <w:pPr>
            <w:pStyle w:val="TOC1"/>
            <w:tabs>
              <w:tab w:val="right" w:leader="dot" w:pos="9350"/>
            </w:tabs>
            <w:spacing w:before="240"/>
            <w:rPr>
              <w:rFonts w:ascii="Times New Roman" w:eastAsiaTheme="minorEastAsia" w:hAnsi="Times New Roman" w:cs="Times New Roman"/>
              <w:b/>
              <w:bCs/>
              <w:noProof/>
              <w:sz w:val="22"/>
              <w:szCs w:val="22"/>
            </w:rPr>
          </w:pPr>
          <w:hyperlink w:anchor="_Toc77552307" w:history="1">
            <w:r w:rsidRPr="004F5C98">
              <w:rPr>
                <w:rStyle w:val="Hyperlink"/>
                <w:rFonts w:ascii="Times New Roman" w:hAnsi="Times New Roman" w:cs="Times New Roman"/>
                <w:b/>
                <w:bCs/>
                <w:noProof/>
              </w:rPr>
              <w:t>Report of Worship Service</w:t>
            </w:r>
            <w:r w:rsidRPr="004F5C98">
              <w:rPr>
                <w:rFonts w:ascii="Times New Roman" w:hAnsi="Times New Roman" w:cs="Times New Roman"/>
                <w:b/>
                <w:bCs/>
                <w:noProof/>
                <w:webHidden/>
              </w:rPr>
              <w:tab/>
            </w:r>
            <w:r w:rsidRPr="004F5C98">
              <w:rPr>
                <w:rFonts w:ascii="Times New Roman" w:hAnsi="Times New Roman" w:cs="Times New Roman"/>
                <w:b/>
                <w:bCs/>
                <w:noProof/>
                <w:webHidden/>
              </w:rPr>
              <w:fldChar w:fldCharType="begin"/>
            </w:r>
            <w:r w:rsidRPr="004F5C98">
              <w:rPr>
                <w:rFonts w:ascii="Times New Roman" w:hAnsi="Times New Roman" w:cs="Times New Roman"/>
                <w:b/>
                <w:bCs/>
                <w:noProof/>
                <w:webHidden/>
              </w:rPr>
              <w:instrText xml:space="preserve"> PAGEREF _Toc77552307 \h </w:instrText>
            </w:r>
            <w:r w:rsidRPr="004F5C98">
              <w:rPr>
                <w:rFonts w:ascii="Times New Roman" w:hAnsi="Times New Roman" w:cs="Times New Roman"/>
                <w:b/>
                <w:bCs/>
                <w:noProof/>
                <w:webHidden/>
              </w:rPr>
            </w:r>
            <w:r w:rsidRPr="004F5C98">
              <w:rPr>
                <w:rFonts w:ascii="Times New Roman" w:hAnsi="Times New Roman" w:cs="Times New Roman"/>
                <w:b/>
                <w:bCs/>
                <w:noProof/>
                <w:webHidden/>
              </w:rPr>
              <w:fldChar w:fldCharType="separate"/>
            </w:r>
            <w:r w:rsidRPr="004F5C98">
              <w:rPr>
                <w:rFonts w:ascii="Times New Roman" w:hAnsi="Times New Roman" w:cs="Times New Roman"/>
                <w:b/>
                <w:bCs/>
                <w:noProof/>
                <w:webHidden/>
              </w:rPr>
              <w:t>5</w:t>
            </w:r>
            <w:r w:rsidRPr="004F5C98">
              <w:rPr>
                <w:rFonts w:ascii="Times New Roman" w:hAnsi="Times New Roman" w:cs="Times New Roman"/>
                <w:b/>
                <w:bCs/>
                <w:noProof/>
                <w:webHidden/>
              </w:rPr>
              <w:fldChar w:fldCharType="end"/>
            </w:r>
          </w:hyperlink>
        </w:p>
        <w:p w14:paraId="10E40FAD" w14:textId="794FD6EE" w:rsidR="004F5C98" w:rsidRPr="004F5C98" w:rsidRDefault="004F5C98" w:rsidP="004F5C98">
          <w:pPr>
            <w:pStyle w:val="TOC1"/>
            <w:tabs>
              <w:tab w:val="right" w:leader="dot" w:pos="9350"/>
            </w:tabs>
            <w:spacing w:before="240"/>
            <w:rPr>
              <w:rFonts w:ascii="Times New Roman" w:eastAsiaTheme="minorEastAsia" w:hAnsi="Times New Roman" w:cs="Times New Roman"/>
              <w:b/>
              <w:bCs/>
              <w:noProof/>
              <w:sz w:val="22"/>
              <w:szCs w:val="22"/>
            </w:rPr>
          </w:pPr>
          <w:hyperlink w:anchor="_Toc77552308" w:history="1">
            <w:r w:rsidRPr="004F5C98">
              <w:rPr>
                <w:rStyle w:val="Hyperlink"/>
                <w:rFonts w:ascii="Times New Roman" w:hAnsi="Times New Roman" w:cs="Times New Roman"/>
                <w:b/>
                <w:bCs/>
                <w:noProof/>
              </w:rPr>
              <w:t>Sharing the Gospel with Muslims</w:t>
            </w:r>
            <w:r w:rsidRPr="004F5C98">
              <w:rPr>
                <w:rFonts w:ascii="Times New Roman" w:hAnsi="Times New Roman" w:cs="Times New Roman"/>
                <w:b/>
                <w:bCs/>
                <w:noProof/>
                <w:webHidden/>
              </w:rPr>
              <w:tab/>
            </w:r>
            <w:r w:rsidRPr="004F5C98">
              <w:rPr>
                <w:rFonts w:ascii="Times New Roman" w:hAnsi="Times New Roman" w:cs="Times New Roman"/>
                <w:b/>
                <w:bCs/>
                <w:noProof/>
                <w:webHidden/>
              </w:rPr>
              <w:fldChar w:fldCharType="begin"/>
            </w:r>
            <w:r w:rsidRPr="004F5C98">
              <w:rPr>
                <w:rFonts w:ascii="Times New Roman" w:hAnsi="Times New Roman" w:cs="Times New Roman"/>
                <w:b/>
                <w:bCs/>
                <w:noProof/>
                <w:webHidden/>
              </w:rPr>
              <w:instrText xml:space="preserve"> PAGEREF _Toc77552308 \h </w:instrText>
            </w:r>
            <w:r w:rsidRPr="004F5C98">
              <w:rPr>
                <w:rFonts w:ascii="Times New Roman" w:hAnsi="Times New Roman" w:cs="Times New Roman"/>
                <w:b/>
                <w:bCs/>
                <w:noProof/>
                <w:webHidden/>
              </w:rPr>
            </w:r>
            <w:r w:rsidRPr="004F5C98">
              <w:rPr>
                <w:rFonts w:ascii="Times New Roman" w:hAnsi="Times New Roman" w:cs="Times New Roman"/>
                <w:b/>
                <w:bCs/>
                <w:noProof/>
                <w:webHidden/>
              </w:rPr>
              <w:fldChar w:fldCharType="separate"/>
            </w:r>
            <w:r w:rsidRPr="004F5C98">
              <w:rPr>
                <w:rFonts w:ascii="Times New Roman" w:hAnsi="Times New Roman" w:cs="Times New Roman"/>
                <w:b/>
                <w:bCs/>
                <w:noProof/>
                <w:webHidden/>
              </w:rPr>
              <w:t>7</w:t>
            </w:r>
            <w:r w:rsidRPr="004F5C98">
              <w:rPr>
                <w:rFonts w:ascii="Times New Roman" w:hAnsi="Times New Roman" w:cs="Times New Roman"/>
                <w:b/>
                <w:bCs/>
                <w:noProof/>
                <w:webHidden/>
              </w:rPr>
              <w:fldChar w:fldCharType="end"/>
            </w:r>
          </w:hyperlink>
        </w:p>
        <w:p w14:paraId="183A2AC7" w14:textId="0ADE98E9" w:rsidR="004F5C98" w:rsidRPr="004F5C98" w:rsidRDefault="004F5C98" w:rsidP="004F5C98">
          <w:pPr>
            <w:pStyle w:val="TOC1"/>
            <w:tabs>
              <w:tab w:val="right" w:leader="dot" w:pos="9350"/>
            </w:tabs>
            <w:spacing w:before="240"/>
            <w:rPr>
              <w:rFonts w:ascii="Times New Roman" w:eastAsiaTheme="minorEastAsia" w:hAnsi="Times New Roman" w:cs="Times New Roman"/>
              <w:b/>
              <w:bCs/>
              <w:noProof/>
              <w:sz w:val="22"/>
              <w:szCs w:val="22"/>
            </w:rPr>
          </w:pPr>
          <w:hyperlink w:anchor="_Toc77552309" w:history="1">
            <w:r w:rsidRPr="004F5C98">
              <w:rPr>
                <w:rStyle w:val="Hyperlink"/>
                <w:rFonts w:ascii="Times New Roman" w:hAnsi="Times New Roman" w:cs="Times New Roman"/>
                <w:b/>
                <w:bCs/>
                <w:noProof/>
              </w:rPr>
              <w:t>Conclusion</w:t>
            </w:r>
            <w:r w:rsidRPr="004F5C98">
              <w:rPr>
                <w:rFonts w:ascii="Times New Roman" w:hAnsi="Times New Roman" w:cs="Times New Roman"/>
                <w:b/>
                <w:bCs/>
                <w:noProof/>
                <w:webHidden/>
              </w:rPr>
              <w:tab/>
            </w:r>
            <w:r w:rsidRPr="004F5C98">
              <w:rPr>
                <w:rFonts w:ascii="Times New Roman" w:hAnsi="Times New Roman" w:cs="Times New Roman"/>
                <w:b/>
                <w:bCs/>
                <w:noProof/>
                <w:webHidden/>
              </w:rPr>
              <w:fldChar w:fldCharType="begin"/>
            </w:r>
            <w:r w:rsidRPr="004F5C98">
              <w:rPr>
                <w:rFonts w:ascii="Times New Roman" w:hAnsi="Times New Roman" w:cs="Times New Roman"/>
                <w:b/>
                <w:bCs/>
                <w:noProof/>
                <w:webHidden/>
              </w:rPr>
              <w:instrText xml:space="preserve"> PAGEREF _Toc77552309 \h </w:instrText>
            </w:r>
            <w:r w:rsidRPr="004F5C98">
              <w:rPr>
                <w:rFonts w:ascii="Times New Roman" w:hAnsi="Times New Roman" w:cs="Times New Roman"/>
                <w:b/>
                <w:bCs/>
                <w:noProof/>
                <w:webHidden/>
              </w:rPr>
            </w:r>
            <w:r w:rsidRPr="004F5C98">
              <w:rPr>
                <w:rFonts w:ascii="Times New Roman" w:hAnsi="Times New Roman" w:cs="Times New Roman"/>
                <w:b/>
                <w:bCs/>
                <w:noProof/>
                <w:webHidden/>
              </w:rPr>
              <w:fldChar w:fldCharType="separate"/>
            </w:r>
            <w:r w:rsidRPr="004F5C98">
              <w:rPr>
                <w:rFonts w:ascii="Times New Roman" w:hAnsi="Times New Roman" w:cs="Times New Roman"/>
                <w:b/>
                <w:bCs/>
                <w:noProof/>
                <w:webHidden/>
              </w:rPr>
              <w:t>8</w:t>
            </w:r>
            <w:r w:rsidRPr="004F5C98">
              <w:rPr>
                <w:rFonts w:ascii="Times New Roman" w:hAnsi="Times New Roman" w:cs="Times New Roman"/>
                <w:b/>
                <w:bCs/>
                <w:noProof/>
                <w:webHidden/>
              </w:rPr>
              <w:fldChar w:fldCharType="end"/>
            </w:r>
          </w:hyperlink>
        </w:p>
        <w:p w14:paraId="0A87E059" w14:textId="63C3B06B" w:rsidR="004F5C98" w:rsidRPr="004F5C98" w:rsidRDefault="004F5C98" w:rsidP="004F5C98">
          <w:pPr>
            <w:pStyle w:val="TOC1"/>
            <w:tabs>
              <w:tab w:val="right" w:leader="dot" w:pos="9350"/>
            </w:tabs>
            <w:spacing w:before="240"/>
            <w:rPr>
              <w:rFonts w:ascii="Times New Roman" w:eastAsiaTheme="minorEastAsia" w:hAnsi="Times New Roman" w:cs="Times New Roman"/>
              <w:b/>
              <w:bCs/>
              <w:noProof/>
              <w:sz w:val="22"/>
              <w:szCs w:val="22"/>
            </w:rPr>
          </w:pPr>
          <w:hyperlink w:anchor="_Toc77552310" w:history="1">
            <w:r w:rsidRPr="004F5C98">
              <w:rPr>
                <w:rStyle w:val="Hyperlink"/>
                <w:rFonts w:ascii="Times New Roman" w:hAnsi="Times New Roman" w:cs="Times New Roman"/>
                <w:b/>
                <w:bCs/>
                <w:noProof/>
              </w:rPr>
              <w:t>Bibliography</w:t>
            </w:r>
            <w:r w:rsidRPr="004F5C98">
              <w:rPr>
                <w:rFonts w:ascii="Times New Roman" w:hAnsi="Times New Roman" w:cs="Times New Roman"/>
                <w:b/>
                <w:bCs/>
                <w:noProof/>
                <w:webHidden/>
              </w:rPr>
              <w:tab/>
            </w:r>
            <w:r w:rsidRPr="004F5C98">
              <w:rPr>
                <w:rFonts w:ascii="Times New Roman" w:hAnsi="Times New Roman" w:cs="Times New Roman"/>
                <w:b/>
                <w:bCs/>
                <w:noProof/>
                <w:webHidden/>
              </w:rPr>
              <w:fldChar w:fldCharType="begin"/>
            </w:r>
            <w:r w:rsidRPr="004F5C98">
              <w:rPr>
                <w:rFonts w:ascii="Times New Roman" w:hAnsi="Times New Roman" w:cs="Times New Roman"/>
                <w:b/>
                <w:bCs/>
                <w:noProof/>
                <w:webHidden/>
              </w:rPr>
              <w:instrText xml:space="preserve"> PAGEREF _Toc77552310 \h </w:instrText>
            </w:r>
            <w:r w:rsidRPr="004F5C98">
              <w:rPr>
                <w:rFonts w:ascii="Times New Roman" w:hAnsi="Times New Roman" w:cs="Times New Roman"/>
                <w:b/>
                <w:bCs/>
                <w:noProof/>
                <w:webHidden/>
              </w:rPr>
            </w:r>
            <w:r w:rsidRPr="004F5C98">
              <w:rPr>
                <w:rFonts w:ascii="Times New Roman" w:hAnsi="Times New Roman" w:cs="Times New Roman"/>
                <w:b/>
                <w:bCs/>
                <w:noProof/>
                <w:webHidden/>
              </w:rPr>
              <w:fldChar w:fldCharType="separate"/>
            </w:r>
            <w:r w:rsidRPr="004F5C98">
              <w:rPr>
                <w:rFonts w:ascii="Times New Roman" w:hAnsi="Times New Roman" w:cs="Times New Roman"/>
                <w:b/>
                <w:bCs/>
                <w:noProof/>
                <w:webHidden/>
              </w:rPr>
              <w:t>9</w:t>
            </w:r>
            <w:r w:rsidRPr="004F5C98">
              <w:rPr>
                <w:rFonts w:ascii="Times New Roman" w:hAnsi="Times New Roman" w:cs="Times New Roman"/>
                <w:b/>
                <w:bCs/>
                <w:noProof/>
                <w:webHidden/>
              </w:rPr>
              <w:fldChar w:fldCharType="end"/>
            </w:r>
          </w:hyperlink>
        </w:p>
        <w:p w14:paraId="077F3532" w14:textId="3359B5C9" w:rsidR="00DF7AA0" w:rsidRPr="004F5C98" w:rsidRDefault="00DF7AA0" w:rsidP="004F5C98">
          <w:pPr>
            <w:spacing w:before="240" w:after="240" w:line="240" w:lineRule="auto"/>
            <w:rPr>
              <w:rFonts w:cs="Times New Roman"/>
              <w:b/>
              <w:bCs/>
              <w:szCs w:val="24"/>
            </w:rPr>
            <w:sectPr w:rsidR="00DF7AA0" w:rsidRPr="004F5C98"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4F5C98">
            <w:rPr>
              <w:rFonts w:cs="Times New Roman"/>
              <w:b/>
              <w:bCs/>
              <w:noProof/>
              <w:szCs w:val="24"/>
            </w:rPr>
            <w:fldChar w:fldCharType="end"/>
          </w:r>
        </w:p>
      </w:sdtContent>
    </w:sdt>
    <w:p w14:paraId="480004F4" w14:textId="242152AE" w:rsidR="001F585E" w:rsidRDefault="000B1EDA" w:rsidP="004F5C98">
      <w:pPr>
        <w:pStyle w:val="Heading1"/>
      </w:pPr>
      <w:bookmarkStart w:id="16" w:name="_Toc77552301"/>
      <w:r w:rsidRPr="00810CAB">
        <w:lastRenderedPageBreak/>
        <w:t>Introduction</w:t>
      </w:r>
      <w:bookmarkEnd w:id="16"/>
    </w:p>
    <w:p w14:paraId="42BCB38A" w14:textId="7A4902F4" w:rsidR="00C955DA" w:rsidRDefault="00C955DA" w:rsidP="004F5C98">
      <w:pPr>
        <w:pStyle w:val="NormalWeb"/>
        <w:spacing w:before="0" w:beforeAutospacing="0" w:after="0" w:afterAutospacing="0" w:line="480" w:lineRule="auto"/>
        <w:ind w:firstLine="720"/>
        <w:rPr>
          <w:color w:val="0E101A"/>
        </w:rPr>
      </w:pPr>
      <w:r>
        <w:rPr>
          <w:color w:val="0E101A"/>
        </w:rPr>
        <w:t>Harold A. Netland avers, “Given globalization, ordinary lay Christians find themselves interacting with religious others within their own neighborhoods, schools, and workplaces.”</w:t>
      </w:r>
      <w:r w:rsidRPr="00C955DA">
        <w:rPr>
          <w:rStyle w:val="FootnoteReference"/>
        </w:rPr>
        <w:t xml:space="preserve"> </w:t>
      </w:r>
      <w:r>
        <w:rPr>
          <w:rStyle w:val="FootnoteReference"/>
        </w:rPr>
        <w:footnoteReference w:id="1"/>
      </w:r>
    </w:p>
    <w:p w14:paraId="5C408BD3" w14:textId="48C71F85" w:rsidR="00C955DA" w:rsidRDefault="00C955DA" w:rsidP="004F5C98">
      <w:pPr>
        <w:pStyle w:val="NormalWeb"/>
        <w:spacing w:before="0" w:beforeAutospacing="0" w:after="0" w:afterAutospacing="0" w:line="480" w:lineRule="auto"/>
        <w:rPr>
          <w:color w:val="0E101A"/>
        </w:rPr>
      </w:pPr>
      <w:r>
        <w:rPr>
          <w:color w:val="0E101A"/>
        </w:rPr>
        <w:t xml:space="preserve">He is correct. Never in history </w:t>
      </w:r>
      <w:r w:rsidR="002751AB">
        <w:rPr>
          <w:color w:val="0E101A"/>
        </w:rPr>
        <w:t xml:space="preserve">has the </w:t>
      </w:r>
      <w:r>
        <w:rPr>
          <w:color w:val="0E101A"/>
        </w:rPr>
        <w:t xml:space="preserve">need to become aware of other religions and worldviews </w:t>
      </w:r>
      <w:r w:rsidR="002751AB">
        <w:rPr>
          <w:color w:val="0E101A"/>
        </w:rPr>
        <w:t>multiplied</w:t>
      </w:r>
      <w:r>
        <w:rPr>
          <w:color w:val="0E101A"/>
        </w:rPr>
        <w:t xml:space="preserve"> than in this twenty-first century. Not only so, but also knowledge of these religions has become so crucial that without it, one cannot share the gospel effectively.</w:t>
      </w:r>
    </w:p>
    <w:p w14:paraId="3340FD90" w14:textId="096F22F1" w:rsidR="00C955DA" w:rsidRDefault="00C955DA" w:rsidP="004F5C98">
      <w:pPr>
        <w:pStyle w:val="NormalWeb"/>
        <w:spacing w:before="0" w:beforeAutospacing="0" w:after="0" w:afterAutospacing="0" w:line="480" w:lineRule="auto"/>
        <w:ind w:firstLine="720"/>
        <w:rPr>
          <w:color w:val="0E101A"/>
        </w:rPr>
      </w:pPr>
      <w:r>
        <w:rPr>
          <w:color w:val="0E101A"/>
        </w:rPr>
        <w:t>The author of this paper thus chose to observe a worship service of Muslims. The rationale behind that choice is that since no other religion except for Christianity continues to draw a larger following than Islam, Islam then needs to be given much attention. To put it in perspective, Islam is a religion to the world’s 1.5 billion people.</w:t>
      </w:r>
      <w:r>
        <w:rPr>
          <w:rStyle w:val="FootnoteReference"/>
        </w:rPr>
        <w:footnoteReference w:id="2"/>
      </w:r>
      <w:r>
        <w:rPr>
          <w:color w:val="0E101A"/>
        </w:rPr>
        <w:t> Recent studies denote that Islam continues to multiply all over the globe, and it is the fastest-growing religion in the world.</w:t>
      </w:r>
      <w:r>
        <w:rPr>
          <w:rStyle w:val="FootnoteReference"/>
        </w:rPr>
        <w:footnoteReference w:id="3"/>
      </w:r>
    </w:p>
    <w:p w14:paraId="5F4C43F8" w14:textId="77777777" w:rsidR="00C955DA" w:rsidRDefault="00C955DA" w:rsidP="004F5C98">
      <w:pPr>
        <w:pStyle w:val="NormalWeb"/>
        <w:spacing w:before="0" w:beforeAutospacing="0" w:after="0" w:afterAutospacing="0" w:line="480" w:lineRule="auto"/>
        <w:ind w:firstLine="720"/>
        <w:rPr>
          <w:color w:val="0E101A"/>
        </w:rPr>
      </w:pPr>
      <w:r>
        <w:rPr>
          <w:color w:val="0E101A"/>
        </w:rPr>
        <w:t>The purpose of this paper is to describe in detail the beliefs of Islam, present a report of an Islamic worship service, and suggest some ideas on how Christians can share the gospel with Muslims. By the end of this paper, the author intends to prove that a thorough understanding of what Muslims believe and practice is a prerequisite to sharing the gospel with them.</w:t>
      </w:r>
    </w:p>
    <w:p w14:paraId="6415AD8E" w14:textId="77777777" w:rsidR="00C955DA" w:rsidRDefault="00C955DA" w:rsidP="004F5C98">
      <w:pPr>
        <w:ind w:firstLine="720"/>
      </w:pPr>
    </w:p>
    <w:p w14:paraId="41530836" w14:textId="77777777" w:rsidR="005710B0" w:rsidRPr="004F1E5C" w:rsidRDefault="005710B0" w:rsidP="004F5C98">
      <w:pPr>
        <w:ind w:firstLine="720"/>
      </w:pPr>
    </w:p>
    <w:p w14:paraId="7E1B47C5" w14:textId="535EF366" w:rsidR="004F1E5C" w:rsidRDefault="004F1E5C" w:rsidP="004F5C98">
      <w:pPr>
        <w:pStyle w:val="Heading1"/>
      </w:pPr>
      <w:bookmarkStart w:id="17" w:name="_Toc77552302"/>
      <w:r>
        <w:lastRenderedPageBreak/>
        <w:t>Description of Islam</w:t>
      </w:r>
      <w:bookmarkEnd w:id="17"/>
    </w:p>
    <w:p w14:paraId="69B1753A" w14:textId="19CEFBC0" w:rsidR="00EB5EEC" w:rsidRDefault="00EB5EEC" w:rsidP="004F5C98">
      <w:pPr>
        <w:pStyle w:val="NormalWeb"/>
        <w:spacing w:before="0" w:beforeAutospacing="0" w:after="0" w:afterAutospacing="0" w:line="480" w:lineRule="auto"/>
        <w:ind w:firstLine="720"/>
        <w:rPr>
          <w:color w:val="0E101A"/>
        </w:rPr>
      </w:pPr>
      <w:r>
        <w:rPr>
          <w:color w:val="0E101A"/>
        </w:rPr>
        <w:t>Islam is one of the three Abrahamic religions. Also, it is a transnational religion practiced in nearly all countries.</w:t>
      </w:r>
      <w:r>
        <w:rPr>
          <w:rStyle w:val="FootnoteReference"/>
        </w:rPr>
        <w:footnoteReference w:id="4"/>
      </w:r>
      <w:r>
        <w:rPr>
          <w:color w:val="0E101A"/>
        </w:rPr>
        <w:t> Prophet Muhamm</w:t>
      </w:r>
      <w:r w:rsidR="002751AB">
        <w:rPr>
          <w:color w:val="0E101A"/>
        </w:rPr>
        <w:t>a</w:t>
      </w:r>
      <w:r>
        <w:rPr>
          <w:color w:val="0E101A"/>
        </w:rPr>
        <w:t>d founded Islam in the seventh century in Mecca, Saudi Arabia. Since then, Islam enjoys a worldwide presence and is the predominant religion in many Arab countries. </w:t>
      </w:r>
    </w:p>
    <w:p w14:paraId="57EB3305" w14:textId="77777777" w:rsidR="00EB5EEC" w:rsidRPr="004F5C98" w:rsidRDefault="00EB5EEC" w:rsidP="004F5C98">
      <w:pPr>
        <w:pStyle w:val="Heading2"/>
      </w:pPr>
      <w:bookmarkStart w:id="18" w:name="_Toc77552303"/>
      <w:r w:rsidRPr="004F5C98">
        <w:t>History</w:t>
      </w:r>
      <w:bookmarkEnd w:id="18"/>
    </w:p>
    <w:p w14:paraId="751137CE" w14:textId="6C68222C" w:rsidR="00EB5EEC" w:rsidRDefault="00EB5EEC" w:rsidP="004F5C98">
      <w:pPr>
        <w:pStyle w:val="NormalWeb"/>
        <w:spacing w:before="0" w:beforeAutospacing="0" w:after="0" w:afterAutospacing="0" w:line="480" w:lineRule="auto"/>
        <w:ind w:firstLine="720"/>
        <w:rPr>
          <w:color w:val="0E101A"/>
        </w:rPr>
      </w:pPr>
      <w:r>
        <w:rPr>
          <w:color w:val="0E101A"/>
        </w:rPr>
        <w:t>The history of Islam is not only long; it is full of turns and twists. But in a nutshell, Islam began in the town of Mecca. According to Winfried Corduan, “The unique twists of Muhammad’s spiritual experience began in AD 610 while he was meditating in a cave located on what is now called the Mount of Light, overlooking the plain of Arafat outside of Mecca.”</w:t>
      </w:r>
      <w:r>
        <w:rPr>
          <w:rStyle w:val="FootnoteReference"/>
        </w:rPr>
        <w:footnoteReference w:id="5"/>
      </w:r>
      <w:r>
        <w:rPr>
          <w:color w:val="0E101A"/>
        </w:rPr>
        <w:t> Furthermore, Corduan describes the event noting that as Muhammad fell into a trance, trembling and sweating, the angel Gabriel spoke to him.</w:t>
      </w:r>
      <w:r>
        <w:rPr>
          <w:rStyle w:val="FootnoteReference"/>
        </w:rPr>
        <w:footnoteReference w:id="6"/>
      </w:r>
      <w:r>
        <w:rPr>
          <w:color w:val="0E101A"/>
        </w:rPr>
        <w:t xml:space="preserve"> Islamic traditions aver that the angel showed him a book and ordered him to “Recite!” (or “Read!”). Muhammad was illiterate and thus was caught back by angel Gabriel's asking. The traditions, however, note that miraculously he was able to recite and read. That said, after the apparent trance, Muhammad gathered a few disciples and began to teach them the revelation he had received. He preached against the pagan and polytheistic practices of the day and instead firmly contended that there is only one God. Unfortunately, this did not go well with many of the inhabitants of Mecca. As a result, Muhammad faced hostile treatment in the city. But as Nabeel Qureshi, a former Muslim turned Christian observes, “Muhammad boldly proclaimed monotheism with no concern for his </w:t>
      </w:r>
      <w:r>
        <w:rPr>
          <w:color w:val="0E101A"/>
        </w:rPr>
        <w:lastRenderedPageBreak/>
        <w:t>personal wellbeing.”</w:t>
      </w:r>
      <w:r>
        <w:rPr>
          <w:rStyle w:val="FootnoteReference"/>
        </w:rPr>
        <w:footnoteReference w:id="7"/>
      </w:r>
      <w:r>
        <w:rPr>
          <w:color w:val="0E101A"/>
        </w:rPr>
        <w:t> The Meccans hated him for that. What followed is a string of persecution and hostility towards him and his followers. Eventually, he fled to Medina. In Medina, he continued to preach his message and attracted so many followers. Much later, he returned to Mecca and began a conquest that would later be called Jihad.</w:t>
      </w:r>
    </w:p>
    <w:p w14:paraId="3096D6BE" w14:textId="2255CA67" w:rsidR="00EB5EEC" w:rsidRDefault="00EB5EEC" w:rsidP="004F5C98">
      <w:pPr>
        <w:pStyle w:val="NormalWeb"/>
        <w:spacing w:before="0" w:beforeAutospacing="0" w:after="0" w:afterAutospacing="0" w:line="480" w:lineRule="auto"/>
        <w:ind w:firstLine="720"/>
        <w:rPr>
          <w:color w:val="0E101A"/>
        </w:rPr>
      </w:pPr>
      <w:r>
        <w:rPr>
          <w:color w:val="0E101A"/>
        </w:rPr>
        <w:t>The conquests by Muhammad and his army were excruciatingly violent. Muhammad taught his followers that the revelation he had received dictated that they convert non-Muslims by force. Surah 9:5 of the </w:t>
      </w:r>
      <w:r>
        <w:rPr>
          <w:rStyle w:val="Emphasis"/>
          <w:color w:val="0E101A"/>
        </w:rPr>
        <w:t>Quran</w:t>
      </w:r>
      <w:r>
        <w:rPr>
          <w:color w:val="0E101A"/>
        </w:rPr>
        <w:t> says, “But when the forbidden months are past, then fight and slay the pagans wherever ye find them, and seize them, beleaguer them, and lie in wait for them in every stratagem (of war); but if they repent, and establish regular prayers and practice regular charity, then open the way for them: for Allah is Oft-forgiving.”</w:t>
      </w:r>
      <w:r w:rsidRPr="00EB5EEC">
        <w:rPr>
          <w:rStyle w:val="FootnoteReference"/>
          <w:shd w:val="clear" w:color="auto" w:fill="FFFFFF"/>
        </w:rPr>
        <w:t xml:space="preserve"> </w:t>
      </w:r>
      <w:r w:rsidRPr="00BB61EA">
        <w:rPr>
          <w:rStyle w:val="FootnoteReference"/>
          <w:shd w:val="clear" w:color="auto" w:fill="FFFFFF"/>
        </w:rPr>
        <w:footnoteReference w:id="8"/>
      </w:r>
    </w:p>
    <w:p w14:paraId="25B90912" w14:textId="77777777" w:rsidR="00EB5EEC" w:rsidRDefault="00EB5EEC" w:rsidP="004F5C98">
      <w:pPr>
        <w:pStyle w:val="Heading2"/>
      </w:pPr>
      <w:bookmarkStart w:id="19" w:name="_Toc77552304"/>
      <w:r>
        <w:t>Five Pillars of Islam</w:t>
      </w:r>
      <w:bookmarkEnd w:id="19"/>
    </w:p>
    <w:p w14:paraId="469DCD68" w14:textId="7D13A986" w:rsidR="00EB5EEC" w:rsidRDefault="00EB5EEC" w:rsidP="004F5C98">
      <w:pPr>
        <w:pStyle w:val="NormalWeb"/>
        <w:spacing w:before="0" w:beforeAutospacing="0" w:after="0" w:afterAutospacing="0" w:line="480" w:lineRule="auto"/>
        <w:ind w:firstLine="720"/>
        <w:rPr>
          <w:color w:val="0E101A"/>
        </w:rPr>
      </w:pPr>
      <w:r>
        <w:rPr>
          <w:color w:val="0E101A"/>
        </w:rPr>
        <w:t>The core practices of Islam have been put together in what is called </w:t>
      </w:r>
      <w:r>
        <w:rPr>
          <w:rStyle w:val="Emphasis"/>
          <w:color w:val="0E101A"/>
        </w:rPr>
        <w:t>The Five Pillars of Islam</w:t>
      </w:r>
      <w:r>
        <w:rPr>
          <w:color w:val="0E101A"/>
        </w:rPr>
        <w:t>. Paul M. Gould, Travis Dickinson, and R. Keith Loftin assert that these five pillars take one from self-sufficiency to submission, from striving to peace.</w:t>
      </w:r>
      <w:r w:rsidRPr="00EB5EEC">
        <w:rPr>
          <w:rStyle w:val="FootnoteReference"/>
        </w:rPr>
        <w:t xml:space="preserve"> </w:t>
      </w:r>
      <w:r>
        <w:rPr>
          <w:rStyle w:val="FootnoteReference"/>
        </w:rPr>
        <w:footnoteReference w:id="9"/>
      </w:r>
      <w:r>
        <w:rPr>
          <w:color w:val="0E101A"/>
        </w:rPr>
        <w:t> The five pillars of Islam are confession (shahada), Prayers (Salat), Almsgiving (Zakat), Fasting (Ramadan), and Pilgrimage (Hajj). To start with shahada, Muslims believe that one does not become a Muslim until they confess that there is no God but One and Mohammad is his prophet. A verbatim translation from Arabic states, “There is no God but God, and Muhammad is the apostle of God.”</w:t>
      </w:r>
      <w:r>
        <w:rPr>
          <w:rStyle w:val="FootnoteReference"/>
        </w:rPr>
        <w:footnoteReference w:id="10"/>
      </w:r>
    </w:p>
    <w:p w14:paraId="2EDDEEC4" w14:textId="77777777" w:rsidR="00EB5EEC" w:rsidRDefault="00EB5EEC" w:rsidP="004F5C98">
      <w:pPr>
        <w:pStyle w:val="NormalWeb"/>
        <w:spacing w:before="0" w:beforeAutospacing="0" w:after="0" w:afterAutospacing="0" w:line="480" w:lineRule="auto"/>
        <w:ind w:firstLine="720"/>
        <w:rPr>
          <w:color w:val="0E101A"/>
        </w:rPr>
      </w:pPr>
      <w:r>
        <w:rPr>
          <w:color w:val="0E101A"/>
        </w:rPr>
        <w:lastRenderedPageBreak/>
        <w:t>The second pillar of Islam is Salat. Muslims are required to pray a minimum of five times a day while facing Mecca. The prayers are evenly distributed throughout the daytime. Muslims are encouraged to pray in the mosque, but also anywhere is acceptable.</w:t>
      </w:r>
    </w:p>
    <w:p w14:paraId="131DA2D5" w14:textId="3DCF21DE" w:rsidR="00EB5EEC" w:rsidRDefault="00EB5EEC" w:rsidP="004F5C98">
      <w:pPr>
        <w:pStyle w:val="NormalWeb"/>
        <w:spacing w:before="0" w:beforeAutospacing="0" w:after="0" w:afterAutospacing="0" w:line="480" w:lineRule="auto"/>
        <w:ind w:firstLine="720"/>
        <w:rPr>
          <w:color w:val="0E101A"/>
        </w:rPr>
      </w:pPr>
      <w:r>
        <w:rPr>
          <w:color w:val="0E101A"/>
        </w:rPr>
        <w:t>The third pillar is Zakat. Throughout a Muslim’s life, he or she is required to show pity and compassion to the needy, oppressed, and less privileged. Generally, Muslims must give about 2.5% of their annual net earnings.</w:t>
      </w:r>
      <w:r>
        <w:rPr>
          <w:rStyle w:val="FootnoteReference"/>
        </w:rPr>
        <w:footnoteReference w:id="11"/>
      </w:r>
    </w:p>
    <w:p w14:paraId="72FC7FBF" w14:textId="349CB7E3" w:rsidR="00EB5EEC" w:rsidRDefault="00EB5EEC" w:rsidP="004F5C98">
      <w:pPr>
        <w:pStyle w:val="NormalWeb"/>
        <w:spacing w:before="0" w:beforeAutospacing="0" w:after="0" w:afterAutospacing="0" w:line="480" w:lineRule="auto"/>
        <w:ind w:firstLine="720"/>
        <w:rPr>
          <w:color w:val="0E101A"/>
        </w:rPr>
      </w:pPr>
      <w:r>
        <w:rPr>
          <w:color w:val="0E101A"/>
        </w:rPr>
        <w:t>The fourth pillar is Ramadan. Every lunar year, Muslims are required to fast food and other delights from sunrise to sunset for a whole month. Ramadan is arguably the holiest month in the Islamic calendar. Muslims observe it to commemorate when Muhammad received revelation from angel Gabriel.</w:t>
      </w:r>
      <w:r>
        <w:rPr>
          <w:rStyle w:val="FootnoteReference"/>
        </w:rPr>
        <w:footnoteReference w:id="12"/>
      </w:r>
      <w:r>
        <w:rPr>
          <w:color w:val="0E101A"/>
        </w:rPr>
        <w:t> According to Nabeel Qureshi, "the holy month means more than just fasting."</w:t>
      </w:r>
      <w:r w:rsidR="002751AB">
        <w:rPr>
          <w:color w:val="0E101A"/>
        </w:rPr>
        <w:t xml:space="preserve"> </w:t>
      </w:r>
      <w:r>
        <w:rPr>
          <w:color w:val="0E101A"/>
        </w:rPr>
        <w:t>He further postulates, "To Muslims, Ramadan means time to build community, restore broken relationships strive for purity, and above all strengthen one’s faith."</w:t>
      </w:r>
      <w:r>
        <w:rPr>
          <w:rStyle w:val="FootnoteReference"/>
        </w:rPr>
        <w:footnoteReference w:id="13"/>
      </w:r>
    </w:p>
    <w:p w14:paraId="5BBDAF55" w14:textId="77777777" w:rsidR="00EB5EEC" w:rsidRDefault="00EB5EEC" w:rsidP="004F5C98">
      <w:pPr>
        <w:pStyle w:val="NormalWeb"/>
        <w:spacing w:before="0" w:beforeAutospacing="0" w:after="0" w:afterAutospacing="0" w:line="480" w:lineRule="auto"/>
        <w:ind w:firstLine="720"/>
        <w:rPr>
          <w:color w:val="0E101A"/>
        </w:rPr>
      </w:pPr>
      <w:r>
        <w:rPr>
          <w:color w:val="0E101A"/>
        </w:rPr>
        <w:t>The last pillar is Hajj. Hajj is a pilgrimage to Mecca. Hajj to Mecca is required of all Muslims at least once in their lifetime. At Mecca, Muslims pray around the Kaaba (a sacred stone at the heart of Mecca) and perform many other rituals.</w:t>
      </w:r>
    </w:p>
    <w:p w14:paraId="16FC2DEB" w14:textId="77777777" w:rsidR="00EB5EEC" w:rsidRDefault="00EB5EEC" w:rsidP="004F5C98">
      <w:pPr>
        <w:pStyle w:val="Heading2"/>
      </w:pPr>
      <w:bookmarkStart w:id="20" w:name="_Toc77552305"/>
      <w:r>
        <w:t>Other Essential Beliefs</w:t>
      </w:r>
      <w:bookmarkEnd w:id="20"/>
    </w:p>
    <w:p w14:paraId="637A4246" w14:textId="58AA9604" w:rsidR="00EB5EEC" w:rsidRDefault="00EB5EEC" w:rsidP="004F5C98">
      <w:pPr>
        <w:pStyle w:val="NormalWeb"/>
        <w:spacing w:before="0" w:beforeAutospacing="0" w:after="0" w:afterAutospacing="0" w:line="480" w:lineRule="auto"/>
        <w:ind w:firstLine="720"/>
        <w:rPr>
          <w:color w:val="0E101A"/>
        </w:rPr>
      </w:pPr>
      <w:r>
        <w:rPr>
          <w:color w:val="0E101A"/>
        </w:rPr>
        <w:t>According to Winfried Corduan, “Islam calls itself the “Straight Path,” and, not without some justification, avers to be the simplest, most rational and least complicated of all religions (which, we all realize, does not necessarily say anything in either direction, about its truth).”</w:t>
      </w:r>
      <w:r w:rsidR="009C25E5">
        <w:rPr>
          <w:rStyle w:val="FootnoteReference"/>
        </w:rPr>
        <w:footnoteReference w:id="14"/>
      </w:r>
      <w:r>
        <w:rPr>
          <w:color w:val="0E101A"/>
        </w:rPr>
        <w:t xml:space="preserve"> In </w:t>
      </w:r>
      <w:r>
        <w:rPr>
          <w:color w:val="0E101A"/>
        </w:rPr>
        <w:lastRenderedPageBreak/>
        <w:t>its simplicity, Islam has six essential beliefs. These are beliefs about God, angels and spirits, prophets, Books, judgment, and Decrees.</w:t>
      </w:r>
    </w:p>
    <w:p w14:paraId="644D5038" w14:textId="247AE483" w:rsidR="00EB5EEC" w:rsidRDefault="002751AB" w:rsidP="004F5C98">
      <w:pPr>
        <w:pStyle w:val="NormalWeb"/>
        <w:spacing w:before="0" w:beforeAutospacing="0" w:after="0" w:afterAutospacing="0" w:line="480" w:lineRule="auto"/>
        <w:ind w:firstLine="720"/>
        <w:rPr>
          <w:color w:val="0E101A"/>
        </w:rPr>
      </w:pPr>
      <w:r>
        <w:rPr>
          <w:color w:val="0E101A"/>
        </w:rPr>
        <w:t xml:space="preserve">The concept of God for </w:t>
      </w:r>
      <w:r w:rsidR="00EB5EEC">
        <w:rPr>
          <w:color w:val="0E101A"/>
        </w:rPr>
        <w:t>Muslims</w:t>
      </w:r>
      <w:r>
        <w:rPr>
          <w:color w:val="0E101A"/>
        </w:rPr>
        <w:t xml:space="preserve"> is monotheistic. They</w:t>
      </w:r>
      <w:r w:rsidR="00EB5EEC">
        <w:rPr>
          <w:color w:val="0E101A"/>
        </w:rPr>
        <w:t xml:space="preserve"> believe in a strictly unitarian God, Allah. As the fundamental confession states. “There is no god but God.” The Muslim God is transcendent and not immanent.</w:t>
      </w:r>
    </w:p>
    <w:p w14:paraId="050B578D" w14:textId="1257AD02" w:rsidR="00EB5EEC" w:rsidRDefault="00EB5EEC" w:rsidP="002751AB">
      <w:pPr>
        <w:pStyle w:val="NormalWeb"/>
        <w:spacing w:before="0" w:beforeAutospacing="0" w:after="0" w:afterAutospacing="0" w:line="480" w:lineRule="auto"/>
        <w:ind w:firstLine="720"/>
        <w:rPr>
          <w:color w:val="0E101A"/>
        </w:rPr>
      </w:pPr>
      <w:r>
        <w:rPr>
          <w:color w:val="0E101A"/>
        </w:rPr>
        <w:t>In addition, Muslims believe Man’s fundamental problem is not sin. According to Gould et al, Muslims reject the doctrine of original sin.</w:t>
      </w:r>
      <w:r w:rsidR="009C25E5">
        <w:rPr>
          <w:rStyle w:val="FootnoteReference"/>
        </w:rPr>
        <w:footnoteReference w:id="15"/>
      </w:r>
      <w:r>
        <w:rPr>
          <w:color w:val="0E101A"/>
        </w:rPr>
        <w:t> Instead, they believe man’s fundamental problem is pride and self-sufficiency. The solution to this self-sufficiency is submission to Allah. Submission will bring peace in this life and paradise in the next.</w:t>
      </w:r>
      <w:r w:rsidR="009C25E5">
        <w:rPr>
          <w:rStyle w:val="FootnoteReference"/>
        </w:rPr>
        <w:footnoteReference w:id="16"/>
      </w:r>
    </w:p>
    <w:p w14:paraId="1F2A8295" w14:textId="77777777" w:rsidR="00EB5EEC" w:rsidRDefault="00EB5EEC" w:rsidP="004F5C98">
      <w:pPr>
        <w:pStyle w:val="Heading2"/>
      </w:pPr>
      <w:bookmarkStart w:id="21" w:name="_Toc77552306"/>
      <w:r>
        <w:t>Muslims Authority</w:t>
      </w:r>
      <w:bookmarkEnd w:id="21"/>
    </w:p>
    <w:p w14:paraId="7CAC7953" w14:textId="39DBB96B" w:rsidR="00EB5EEC" w:rsidRPr="004F5C98" w:rsidRDefault="00EB5EEC" w:rsidP="004F5C98">
      <w:pPr>
        <w:pStyle w:val="NormalWeb"/>
        <w:spacing w:before="0" w:beforeAutospacing="0" w:after="0" w:afterAutospacing="0" w:line="480" w:lineRule="auto"/>
        <w:ind w:firstLine="720"/>
        <w:rPr>
          <w:color w:val="0E101A"/>
        </w:rPr>
      </w:pPr>
      <w:r>
        <w:rPr>
          <w:color w:val="0E101A"/>
        </w:rPr>
        <w:t>The sole authority of the Islamic religion is the Quran, the hadiths, and the sharia. Believed to be the express words from Allah, the Quran informs what a Muslim is supposed to believe. The hadiths are the collected traditions of the prophet Muhammad. Mainly, Muslims refer to them to follow the example of the prophet Muhammad. Finally, the sharia law is a code of conduct of how Muslims are supposed to live their lives. To Muslims, sharia law is the legal system.</w:t>
      </w:r>
    </w:p>
    <w:p w14:paraId="0ED3F2D3" w14:textId="4A83B5A1" w:rsidR="004F5C98" w:rsidRPr="004F5C98" w:rsidRDefault="004F1E5C" w:rsidP="004F5C98">
      <w:pPr>
        <w:pStyle w:val="Heading1"/>
      </w:pPr>
      <w:bookmarkStart w:id="22" w:name="_Toc77552307"/>
      <w:r>
        <w:t>Report of Worship Service</w:t>
      </w:r>
      <w:bookmarkEnd w:id="22"/>
    </w:p>
    <w:p w14:paraId="74173323" w14:textId="77777777" w:rsidR="004F5C98" w:rsidRDefault="004F5C98" w:rsidP="004F5C98">
      <w:pPr>
        <w:pStyle w:val="NormalWeb"/>
        <w:spacing w:before="0" w:beforeAutospacing="0" w:after="0" w:afterAutospacing="0" w:line="480" w:lineRule="auto"/>
        <w:ind w:firstLine="720"/>
        <w:rPr>
          <w:color w:val="0E101A"/>
        </w:rPr>
      </w:pPr>
      <w:r>
        <w:rPr>
          <w:color w:val="0E101A"/>
        </w:rPr>
        <w:t xml:space="preserve">At the start of this year, my family moved to the south coast of Kenya for mission work. . Over the time that I have been down here, I have made several engagements with Muslims. For this assignment, I chose to visit the mosque where my taxi driver attends. I told him in advance that I wished to go with him to the mosque on Friday. He was so excited to hear that and even </w:t>
      </w:r>
      <w:r>
        <w:rPr>
          <w:color w:val="0E101A"/>
        </w:rPr>
        <w:lastRenderedPageBreak/>
        <w:t>offered to give me a free ride to the mosque and back. He asked me to be ready to leave a few minutes before 11:30 am. Their worship service begins at noon. Also, he asked me to wear a trouser and a long sleeve shirt.</w:t>
      </w:r>
    </w:p>
    <w:p w14:paraId="3911AAAE" w14:textId="46971525" w:rsidR="004F5C98" w:rsidRDefault="004F5C98" w:rsidP="004F5C98">
      <w:pPr>
        <w:pStyle w:val="NormalWeb"/>
        <w:spacing w:before="0" w:beforeAutospacing="0" w:after="0" w:afterAutospacing="0" w:line="480" w:lineRule="auto"/>
        <w:ind w:firstLine="720"/>
        <w:rPr>
          <w:color w:val="0E101A"/>
        </w:rPr>
      </w:pPr>
      <w:r>
        <w:rPr>
          <w:color w:val="0E101A"/>
        </w:rPr>
        <w:t>On the day, the visit to the mosque was quite interesting. We arrived at the mosque on time and headed straight to the water point. We washed our hands, feet, ears, and face. From what he instructed, we had to cleanse every part of the body that is not covered. As Winfried Corduan writes, “The Muslim faithful prepare themselves for prayer by ablution, which involves rinsing hands, feet, eyes, ears, nose, and mouth three times with water.”</w:t>
      </w:r>
      <w:r w:rsidRPr="004F5C98">
        <w:rPr>
          <w:rStyle w:val="FootnoteReference"/>
        </w:rPr>
        <w:t xml:space="preserve"> </w:t>
      </w:r>
      <w:r>
        <w:rPr>
          <w:rStyle w:val="FootnoteReference"/>
        </w:rPr>
        <w:footnoteReference w:id="17"/>
      </w:r>
      <w:r>
        <w:rPr>
          <w:color w:val="0E101A"/>
        </w:rPr>
        <w:t> At the entrance to the mosque, everyone left their shoes. Most of them were sandals. We entered as other Muslims were getting in. Mostly they were dressed in a long robe. They call it </w:t>
      </w:r>
      <w:r>
        <w:rPr>
          <w:rStyle w:val="Emphasis"/>
          <w:color w:val="0E101A"/>
        </w:rPr>
        <w:t>thobe</w:t>
      </w:r>
      <w:r>
        <w:rPr>
          <w:color w:val="0E101A"/>
        </w:rPr>
        <w:t>. As we got inside, I realized there was not even a single chair. Everyone sat or knelt on the carpeted floor. In front of the hall was a </w:t>
      </w:r>
      <w:r>
        <w:rPr>
          <w:rStyle w:val="Emphasis"/>
          <w:color w:val="0E101A"/>
        </w:rPr>
        <w:t>mihrab</w:t>
      </w:r>
      <w:r>
        <w:rPr>
          <w:color w:val="0E101A"/>
        </w:rPr>
        <w:t> from whence the Imam sat and spoke.</w:t>
      </w:r>
    </w:p>
    <w:p w14:paraId="75CDB916" w14:textId="7B6F5DFF" w:rsidR="004F5C98" w:rsidRDefault="004F5C98" w:rsidP="004F5C98">
      <w:pPr>
        <w:pStyle w:val="NormalWeb"/>
        <w:spacing w:before="0" w:beforeAutospacing="0" w:after="0" w:afterAutospacing="0" w:line="480" w:lineRule="auto"/>
        <w:ind w:firstLine="720"/>
        <w:rPr>
          <w:color w:val="0E101A"/>
        </w:rPr>
      </w:pPr>
      <w:r>
        <w:rPr>
          <w:color w:val="0E101A"/>
        </w:rPr>
        <w:t>My taxi friend and I sat in a straight line. Not even one woman was present in the hall. I understood from Winfried Corduan’s assertion, “The reason advanced for the segregation of the sexes is to preserve the dignity of women. Since a part of the prayer, ritual is to prostrate oneself with the forehead touching the floor, it would be uncouth for men to line up alongside or behind women in this position.”</w:t>
      </w:r>
      <w:r>
        <w:rPr>
          <w:rStyle w:val="FootnoteReference"/>
        </w:rPr>
        <w:footnoteReference w:id="18"/>
      </w:r>
    </w:p>
    <w:p w14:paraId="70428610" w14:textId="77777777" w:rsidR="004F5C98" w:rsidRDefault="004F5C98" w:rsidP="004F5C98">
      <w:pPr>
        <w:pStyle w:val="NormalWeb"/>
        <w:spacing w:before="0" w:beforeAutospacing="0" w:after="0" w:afterAutospacing="0" w:line="480" w:lineRule="auto"/>
        <w:ind w:firstLine="720"/>
        <w:rPr>
          <w:color w:val="0E101A"/>
        </w:rPr>
      </w:pPr>
      <w:r>
        <w:rPr>
          <w:color w:val="0E101A"/>
        </w:rPr>
        <w:t>During the service, the Imam</w:t>
      </w:r>
      <w:r>
        <w:rPr>
          <w:rStyle w:val="Emphasis"/>
          <w:color w:val="0E101A"/>
        </w:rPr>
        <w:t> </w:t>
      </w:r>
      <w:r>
        <w:rPr>
          <w:color w:val="0E101A"/>
        </w:rPr>
        <w:t xml:space="preserve">began by calling people to prayer in Arabic. The faithful responded and prostrated themselves. Some of the phrases he repeated about four times, others twice, and so forth. After offering some prayers, the imam read a surah (chapter) from the Quran. The reading per had a peculiar intonation. However, when he began to preach, he spoke in </w:t>
      </w:r>
      <w:r>
        <w:rPr>
          <w:color w:val="0E101A"/>
        </w:rPr>
        <w:lastRenderedPageBreak/>
        <w:t>Swahili and at other times spoke Arabic. One of the things I found interesting is that unlike in the church where the preacher moves from one point of the pulpit to the other, the Imam is static in one place. His voice though is appealing. Hardly, would one get tired of listening to him! His face was emotionless during prayers. However, during the sermon, he moved his hands quite a bit but restricted his movement to where he was standing. I did not see him smile even a bit. Reading from the Quran placed on a small stool in the front, he admonished the congregants to be faithful. His sermon made an emphasis on rewards. The Iman stirred up the faithful to do good so that they could receive rewards from God. He spent less than 30 minutes preaching. After finishing preaching, he said a short prayer in Arabic, and then we dispersed.</w:t>
      </w:r>
    </w:p>
    <w:p w14:paraId="431E046E" w14:textId="77777777" w:rsidR="004F5C98" w:rsidRPr="004F5C98" w:rsidRDefault="004F5C98" w:rsidP="004F5C98">
      <w:pPr>
        <w:pStyle w:val="Heading1"/>
      </w:pPr>
      <w:bookmarkStart w:id="23" w:name="_Toc77552308"/>
      <w:r w:rsidRPr="004F5C98">
        <w:t>Sharing the Gospel with Muslims</w:t>
      </w:r>
      <w:bookmarkEnd w:id="23"/>
    </w:p>
    <w:p w14:paraId="719CCA19" w14:textId="0B0FF113" w:rsidR="004F5C98" w:rsidRDefault="004F5C98" w:rsidP="004F5C98">
      <w:pPr>
        <w:pStyle w:val="NormalWeb"/>
        <w:spacing w:before="0" w:beforeAutospacing="0" w:after="0" w:afterAutospacing="0" w:line="480" w:lineRule="auto"/>
        <w:ind w:firstLine="720"/>
        <w:rPr>
          <w:color w:val="0E101A"/>
        </w:rPr>
      </w:pPr>
      <w:r>
        <w:rPr>
          <w:color w:val="0E101A"/>
        </w:rPr>
        <w:t>Sharing the gospel with Muslims is not easy. Nevertheless, the command to go to all the parts of the world and preach the gospel is urgent (cf. Mt. 28:18-20, NIV).</w:t>
      </w:r>
      <w:r>
        <w:rPr>
          <w:rStyle w:val="FootnoteReference"/>
        </w:rPr>
        <w:footnoteReference w:id="19"/>
      </w:r>
      <w:r>
        <w:rPr>
          <w:color w:val="0E101A"/>
        </w:rPr>
        <w:t> Besides, the love of Christ compels us to preach the gospel even when it means going through a lot of adversity. Paul had the experience as he wrote Timothy admonishing him to " Preach the word; be prepared in season and out of season; correct, rebuke and encourage—with great patience and careful instruction" (2 Tim 4:2).</w:t>
      </w:r>
    </w:p>
    <w:p w14:paraId="27020EA1" w14:textId="3C00EAEE" w:rsidR="004F5C98" w:rsidRDefault="004F5C98" w:rsidP="004F5C98">
      <w:pPr>
        <w:pStyle w:val="NormalWeb"/>
        <w:spacing w:before="0" w:beforeAutospacing="0" w:after="0" w:afterAutospacing="0" w:line="480" w:lineRule="auto"/>
        <w:ind w:firstLine="720"/>
        <w:rPr>
          <w:color w:val="0E101A"/>
        </w:rPr>
      </w:pPr>
      <w:r>
        <w:rPr>
          <w:color w:val="0E101A"/>
        </w:rPr>
        <w:t>Many Scholars have averred effective ways to share Christ with Muslims. One of these is David Wheeler. In his book, </w:t>
      </w:r>
      <w:r>
        <w:rPr>
          <w:rStyle w:val="Emphasis"/>
          <w:color w:val="0E101A"/>
        </w:rPr>
        <w:t>Servanthood Evangelism Manual, </w:t>
      </w:r>
      <w:r>
        <w:rPr>
          <w:color w:val="0E101A"/>
        </w:rPr>
        <w:t>he says that Christians can break barriers of hostilities with non-believers by practicing what he terms servanthood evangelism. According to David Wheeler, Servanthood evangelism is a combination of simple acts of kindness and intentional personal evangelism.”</w:t>
      </w:r>
      <w:r w:rsidRPr="00810CAB">
        <w:rPr>
          <w:rStyle w:val="FootnoteReference"/>
          <w:sz w:val="24"/>
        </w:rPr>
        <w:footnoteReference w:id="20"/>
      </w:r>
      <w:r>
        <w:rPr>
          <w:color w:val="0E101A"/>
        </w:rPr>
        <w:t xml:space="preserve"> He further postulates, “Servanthood evangelism </w:t>
      </w:r>
      <w:r>
        <w:rPr>
          <w:color w:val="0E101A"/>
        </w:rPr>
        <w:lastRenderedPageBreak/>
        <w:t>involves intentionally sharing Christ by modeling biblical servanthood.”</w:t>
      </w:r>
      <w:r w:rsidRPr="00810CAB">
        <w:rPr>
          <w:rStyle w:val="FootnoteReference"/>
          <w:sz w:val="24"/>
        </w:rPr>
        <w:footnoteReference w:id="21"/>
      </w:r>
      <w:r>
        <w:rPr>
          <w:color w:val="0E101A"/>
        </w:rPr>
        <w:t> Muslims are humans like anybody else. To be human means that they have needs and wants that they constantly seek. That said, a good way that Christians can reach them is by helping them out. Helping them breaks the barriers and opens a door into their lives. Once they begin to trust, then a Christian can begin to share the gospel.</w:t>
      </w:r>
    </w:p>
    <w:p w14:paraId="14F7FF8C" w14:textId="12617489" w:rsidR="004F5C98" w:rsidRDefault="004F5C98" w:rsidP="004F5C98">
      <w:pPr>
        <w:pStyle w:val="NormalWeb"/>
        <w:spacing w:before="0" w:beforeAutospacing="0" w:after="0" w:afterAutospacing="0" w:line="480" w:lineRule="auto"/>
        <w:ind w:firstLine="720"/>
        <w:rPr>
          <w:color w:val="0E101A"/>
        </w:rPr>
      </w:pPr>
      <w:r>
        <w:rPr>
          <w:color w:val="0E101A"/>
        </w:rPr>
        <w:t>Another strategy that Christians can share the gospel is emphasizing tent making. Winfried Corduan suggests that since many Islamic countries are closed to Christianity, Christians can ply some other profession and use their physical presence as an opportunity to share the gospel.</w:t>
      </w:r>
      <w:r>
        <w:rPr>
          <w:rStyle w:val="FootnoteReference"/>
        </w:rPr>
        <w:footnoteReference w:id="22"/>
      </w:r>
      <w:r>
        <w:rPr>
          <w:color w:val="0E101A"/>
        </w:rPr>
        <w:t> Often Muslims become suspicious when Christians come to live among them but have no conventional work. Finding work to do gives the missionary credibility. The community begins to feel like they have no ulterior motives.</w:t>
      </w:r>
    </w:p>
    <w:p w14:paraId="09135529" w14:textId="77777777" w:rsidR="004F5C98" w:rsidRDefault="004F5C98" w:rsidP="004F5C98">
      <w:pPr>
        <w:pStyle w:val="NormalWeb"/>
        <w:spacing w:before="0" w:beforeAutospacing="0" w:after="0" w:afterAutospacing="0" w:line="480" w:lineRule="auto"/>
        <w:ind w:firstLine="720"/>
        <w:rPr>
          <w:color w:val="0E101A"/>
        </w:rPr>
      </w:pPr>
      <w:r>
        <w:rPr>
          <w:color w:val="0E101A"/>
        </w:rPr>
        <w:t>Lastly, another strategy to employ is Cultural contextualization. Muslims like it when people follow their culture. The reason is that they take pride in their religion as a lifestyle. Thus, a missionary reaching out to them could adopt the Islamic culture (as long as it does not negate the gospel). For instance, if he adopts some of their cultural symbols such as dressing and language, he would fit in with the community and develop meaningful relationships.</w:t>
      </w:r>
    </w:p>
    <w:p w14:paraId="45B6BB52" w14:textId="77777777" w:rsidR="004F5C98" w:rsidRDefault="004F5C98" w:rsidP="004F5C98">
      <w:pPr>
        <w:pStyle w:val="Heading1"/>
      </w:pPr>
      <w:bookmarkStart w:id="24" w:name="_Toc77552309"/>
      <w:r>
        <w:t>Conclusion</w:t>
      </w:r>
      <w:bookmarkEnd w:id="24"/>
    </w:p>
    <w:p w14:paraId="0FC0BF7E" w14:textId="32E96CA7" w:rsidR="009915B5" w:rsidRPr="004F5C98" w:rsidRDefault="004F5C98" w:rsidP="00C1228A">
      <w:pPr>
        <w:pStyle w:val="NormalWeb"/>
        <w:spacing w:before="0" w:beforeAutospacing="0" w:after="0" w:afterAutospacing="0" w:line="480" w:lineRule="auto"/>
        <w:ind w:firstLine="720"/>
        <w:rPr>
          <w:color w:val="0E101A"/>
        </w:rPr>
      </w:pPr>
      <w:r>
        <w:rPr>
          <w:color w:val="0E101A"/>
        </w:rPr>
        <w:t>Sharing Christ with Muslims though it is not easy it is a noble task. Christians are better placed to effectively share Jesus with Muslims if they prepare and study Muslims' beliefs and practices. Sometimes this may require a person t</w:t>
      </w:r>
      <w:r>
        <w:rPr>
          <w:color w:val="0E101A"/>
        </w:rPr>
        <w:t>o</w:t>
      </w:r>
      <w:r>
        <w:rPr>
          <w:color w:val="0E101A"/>
        </w:rPr>
        <w:t xml:space="preserve"> attend a mosque service and see for themselves how Muslims worship their All</w:t>
      </w:r>
      <w:r>
        <w:rPr>
          <w:color w:val="0E101A"/>
        </w:rPr>
        <w:t>a</w:t>
      </w:r>
      <w:r>
        <w:rPr>
          <w:color w:val="0E101A"/>
        </w:rPr>
        <w:t>h. </w:t>
      </w:r>
    </w:p>
    <w:p w14:paraId="3B888F0C" w14:textId="196E8C35" w:rsidR="00DD7DF3" w:rsidRDefault="00DD7DF3" w:rsidP="004F5C98">
      <w:pPr>
        <w:pStyle w:val="Heading1"/>
      </w:pPr>
      <w:bookmarkStart w:id="25" w:name="_Toc77552310"/>
      <w:r w:rsidRPr="00810CAB">
        <w:lastRenderedPageBreak/>
        <w:t>Bibliography</w:t>
      </w:r>
      <w:bookmarkEnd w:id="25"/>
    </w:p>
    <w:p w14:paraId="65E112D9" w14:textId="77777777" w:rsidR="003B151C" w:rsidRPr="005A18FB" w:rsidRDefault="003B151C" w:rsidP="003B151C">
      <w:pPr>
        <w:pStyle w:val="NormalWeb"/>
        <w:shd w:val="clear" w:color="auto" w:fill="FFFFFF"/>
        <w:spacing w:before="0" w:beforeAutospacing="0" w:after="240" w:afterAutospacing="0"/>
        <w:ind w:left="720" w:hanging="720"/>
        <w:rPr>
          <w:color w:val="212529"/>
        </w:rPr>
      </w:pPr>
      <w:r w:rsidRPr="005A18FB">
        <w:rPr>
          <w:color w:val="212529"/>
        </w:rPr>
        <w:t>Corduan, Winfried. </w:t>
      </w:r>
      <w:r w:rsidRPr="005A18FB">
        <w:rPr>
          <w:rStyle w:val="Emphasis"/>
          <w:rFonts w:eastAsiaTheme="majorEastAsia"/>
          <w:color w:val="212529"/>
        </w:rPr>
        <w:t>Neighboring Faiths: A Christian Introduction to World Religions</w:t>
      </w:r>
      <w:r w:rsidRPr="005A18FB">
        <w:rPr>
          <w:color w:val="212529"/>
        </w:rPr>
        <w:t>. 2nd ed. Downers Grove: InterVarsity Press, 2012.</w:t>
      </w:r>
    </w:p>
    <w:p w14:paraId="069D03CD" w14:textId="77777777" w:rsidR="003B151C" w:rsidRDefault="003B151C" w:rsidP="003B151C">
      <w:pPr>
        <w:spacing w:after="240" w:line="240" w:lineRule="auto"/>
        <w:ind w:left="720" w:hanging="720"/>
        <w:rPr>
          <w:rFonts w:cs="Times New Roman"/>
          <w:szCs w:val="24"/>
        </w:rPr>
      </w:pPr>
      <w:r w:rsidRPr="00536A24">
        <w:rPr>
          <w:rFonts w:cs="Times New Roman"/>
          <w:szCs w:val="24"/>
        </w:rPr>
        <w:t xml:space="preserve">Gonzaga, Khaliq, and Russell Reza. "One nation under Allah: Islam is the fastest growing religion in America, but it still fits the profile of the 'other'. (To the Point)." </w:t>
      </w:r>
      <w:r w:rsidRPr="00536A24">
        <w:rPr>
          <w:rFonts w:cs="Times New Roman"/>
          <w:i/>
          <w:iCs/>
          <w:szCs w:val="24"/>
        </w:rPr>
        <w:t>Color Lines Magazine Fall 2002: 27+. Business Insights: Global.</w:t>
      </w:r>
      <w:r w:rsidRPr="00536A24">
        <w:rPr>
          <w:rFonts w:cs="Times New Roman"/>
          <w:szCs w:val="24"/>
        </w:rPr>
        <w:t xml:space="preserve"> Web. 18 July 2021.</w:t>
      </w:r>
    </w:p>
    <w:p w14:paraId="50A77157" w14:textId="77777777" w:rsidR="003B151C" w:rsidRPr="004F1E5C" w:rsidRDefault="003B151C" w:rsidP="003B151C">
      <w:pPr>
        <w:spacing w:after="240" w:line="240" w:lineRule="auto"/>
        <w:ind w:left="720" w:hanging="720"/>
      </w:pPr>
      <w:r w:rsidRPr="00D41CC6">
        <w:t>Gould, Paul M., Travis Dickinson, and R. Keith Loftin.</w:t>
      </w:r>
      <w:r>
        <w:t xml:space="preserve"> “Counterfeits Gospels: World Religions.” In</w:t>
      </w:r>
      <w:r w:rsidRPr="00D41CC6">
        <w:t xml:space="preserve"> </w:t>
      </w:r>
      <w:r w:rsidRPr="00D41CC6">
        <w:rPr>
          <w:i/>
          <w:iCs/>
        </w:rPr>
        <w:t>Stand Firm: Apologetics and the Brilliance of the Gospel.</w:t>
      </w:r>
      <w:r w:rsidRPr="00D41CC6">
        <w:t xml:space="preserve"> Nashville, TN: B&amp;H Academic, 2018.</w:t>
      </w:r>
    </w:p>
    <w:p w14:paraId="42B3F457" w14:textId="77777777" w:rsidR="003B151C" w:rsidRDefault="003B151C" w:rsidP="003B151C">
      <w:pPr>
        <w:pStyle w:val="NormalWeb"/>
        <w:shd w:val="clear" w:color="auto" w:fill="FFFFFF"/>
        <w:spacing w:before="0" w:beforeAutospacing="0" w:after="240" w:afterAutospacing="0"/>
        <w:ind w:left="720" w:hanging="720"/>
        <w:rPr>
          <w:color w:val="212529"/>
        </w:rPr>
      </w:pPr>
      <w:r w:rsidRPr="005A18FB">
        <w:rPr>
          <w:color w:val="212529"/>
        </w:rPr>
        <w:t>Netland, Harold A. </w:t>
      </w:r>
      <w:r w:rsidRPr="005A18FB">
        <w:rPr>
          <w:rStyle w:val="Emphasis"/>
          <w:rFonts w:eastAsiaTheme="majorEastAsia"/>
          <w:color w:val="212529"/>
        </w:rPr>
        <w:t>Christianity &amp; Religious Diversity: Clarifying Christian Commitments in a Globalizing Age</w:t>
      </w:r>
      <w:r w:rsidRPr="005A18FB">
        <w:rPr>
          <w:color w:val="212529"/>
        </w:rPr>
        <w:t>. Grand Rapids: Baker Academic, 201</w:t>
      </w:r>
      <w:r>
        <w:rPr>
          <w:color w:val="212529"/>
        </w:rPr>
        <w:t>9</w:t>
      </w:r>
      <w:r w:rsidRPr="005A18FB">
        <w:rPr>
          <w:color w:val="212529"/>
        </w:rPr>
        <w:t xml:space="preserve">. </w:t>
      </w:r>
    </w:p>
    <w:p w14:paraId="0CB1905D" w14:textId="77777777" w:rsidR="003B151C" w:rsidRPr="005A18FB" w:rsidRDefault="003B151C" w:rsidP="003B151C">
      <w:pPr>
        <w:pStyle w:val="NormalWeb"/>
        <w:shd w:val="clear" w:color="auto" w:fill="FFFFFF"/>
        <w:spacing w:before="0" w:beforeAutospacing="0" w:after="240" w:afterAutospacing="0"/>
        <w:ind w:left="720" w:hanging="720"/>
        <w:rPr>
          <w:color w:val="212529"/>
        </w:rPr>
      </w:pPr>
      <w:r w:rsidRPr="008D577A">
        <w:rPr>
          <w:color w:val="212529"/>
        </w:rPr>
        <w:t>Qureshi, Nabeel</w:t>
      </w:r>
      <w:r>
        <w:rPr>
          <w:color w:val="212529"/>
        </w:rPr>
        <w:t xml:space="preserve">. </w:t>
      </w:r>
      <w:r w:rsidRPr="008D577A">
        <w:rPr>
          <w:i/>
          <w:iCs/>
          <w:color w:val="212529"/>
        </w:rPr>
        <w:t>No God but One: Allah or Jesus</w:t>
      </w:r>
      <w:r>
        <w:rPr>
          <w:color w:val="212529"/>
        </w:rPr>
        <w:t xml:space="preserve">. </w:t>
      </w:r>
      <w:r w:rsidRPr="008D577A">
        <w:rPr>
          <w:color w:val="212529"/>
        </w:rPr>
        <w:t>Grand Rapids, MI: Zondervan, 2016</w:t>
      </w:r>
      <w:r>
        <w:rPr>
          <w:color w:val="212529"/>
        </w:rPr>
        <w:t>.</w:t>
      </w:r>
    </w:p>
    <w:p w14:paraId="12FC02B3" w14:textId="77777777" w:rsidR="003B151C" w:rsidRDefault="003B151C" w:rsidP="003B151C">
      <w:pPr>
        <w:pStyle w:val="NormalWeb"/>
        <w:shd w:val="clear" w:color="auto" w:fill="FFFFFF"/>
        <w:spacing w:before="0" w:beforeAutospacing="0" w:after="240" w:afterAutospacing="0"/>
        <w:ind w:left="720" w:hanging="720"/>
        <w:rPr>
          <w:color w:val="212529"/>
        </w:rPr>
      </w:pPr>
      <w:r w:rsidRPr="008D577A">
        <w:rPr>
          <w:color w:val="212529"/>
        </w:rPr>
        <w:t>Qureshi, Nabeel</w:t>
      </w:r>
      <w:r>
        <w:rPr>
          <w:color w:val="212529"/>
        </w:rPr>
        <w:t xml:space="preserve">. </w:t>
      </w:r>
      <w:r w:rsidRPr="008D577A">
        <w:rPr>
          <w:i/>
          <w:iCs/>
          <w:color w:val="212529"/>
        </w:rPr>
        <w:t>Seeking Allah Finding Jesus: A Devout Muslim Encounters Christianity</w:t>
      </w:r>
      <w:r>
        <w:rPr>
          <w:color w:val="212529"/>
        </w:rPr>
        <w:t xml:space="preserve">. </w:t>
      </w:r>
      <w:r w:rsidRPr="008D577A">
        <w:rPr>
          <w:color w:val="212529"/>
        </w:rPr>
        <w:t>Grand Rapids, MI: Zondervan, 2016</w:t>
      </w:r>
      <w:r>
        <w:rPr>
          <w:color w:val="212529"/>
        </w:rPr>
        <w:t>.</w:t>
      </w:r>
    </w:p>
    <w:p w14:paraId="6900485E" w14:textId="77777777" w:rsidR="003B151C" w:rsidRDefault="003B151C" w:rsidP="003B151C">
      <w:pPr>
        <w:pStyle w:val="NormalWeb"/>
        <w:shd w:val="clear" w:color="auto" w:fill="FFFFFF"/>
        <w:spacing w:before="0" w:beforeAutospacing="0" w:after="240" w:afterAutospacing="0"/>
        <w:ind w:left="720" w:hanging="720"/>
        <w:rPr>
          <w:color w:val="212529"/>
        </w:rPr>
      </w:pPr>
      <w:r w:rsidRPr="008D577A">
        <w:rPr>
          <w:color w:val="212529"/>
        </w:rPr>
        <w:t>Soni, Varun</w:t>
      </w:r>
      <w:r>
        <w:rPr>
          <w:color w:val="212529"/>
        </w:rPr>
        <w:t xml:space="preserve">. </w:t>
      </w:r>
      <w:r w:rsidRPr="008D577A">
        <w:rPr>
          <w:color w:val="212529"/>
        </w:rPr>
        <w:t>“Introduction to Islam| Belief | Oprah Winfrey Network</w:t>
      </w:r>
      <w:r>
        <w:rPr>
          <w:color w:val="212529"/>
        </w:rPr>
        <w:t>.</w:t>
      </w:r>
      <w:r w:rsidRPr="008D577A">
        <w:rPr>
          <w:color w:val="212529"/>
        </w:rPr>
        <w:t>”</w:t>
      </w:r>
      <w:r>
        <w:rPr>
          <w:color w:val="212529"/>
        </w:rPr>
        <w:t xml:space="preserve"> </w:t>
      </w:r>
      <w:r w:rsidRPr="008D577A">
        <w:rPr>
          <w:color w:val="212529"/>
        </w:rPr>
        <w:t>Course video in APOL 525 at Liberty University, Lynchburg, VA, July 18, 2021.</w:t>
      </w:r>
    </w:p>
    <w:p w14:paraId="4AE538F5" w14:textId="77777777" w:rsidR="003B151C" w:rsidRPr="00810CAB" w:rsidRDefault="003B151C" w:rsidP="003B151C">
      <w:pPr>
        <w:spacing w:after="240" w:line="240" w:lineRule="auto"/>
        <w:ind w:left="720" w:hanging="720"/>
        <w:rPr>
          <w:rFonts w:cs="Times New Roman"/>
          <w:szCs w:val="24"/>
        </w:rPr>
      </w:pPr>
      <w:r w:rsidRPr="009915B5">
        <w:rPr>
          <w:rFonts w:cs="Times New Roman"/>
          <w:szCs w:val="24"/>
        </w:rPr>
        <w:t>Wheeler, David. Servanthood Evangelism Manual. Nashville: Lifeway, 2018.</w:t>
      </w:r>
    </w:p>
    <w:sectPr w:rsidR="003B151C" w:rsidRPr="00810CAB"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F7E25" w14:textId="77777777" w:rsidR="00D36205" w:rsidRDefault="00D36205" w:rsidP="00DF7AA0">
      <w:pPr>
        <w:spacing w:line="240" w:lineRule="auto"/>
      </w:pPr>
      <w:r>
        <w:separator/>
      </w:r>
    </w:p>
  </w:endnote>
  <w:endnote w:type="continuationSeparator" w:id="0">
    <w:p w14:paraId="70EDF00D" w14:textId="77777777" w:rsidR="00D36205" w:rsidRDefault="00D36205"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D36205"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D14A8" w14:textId="77777777" w:rsidR="00D36205" w:rsidRDefault="00D36205" w:rsidP="00DF7AA0">
      <w:pPr>
        <w:spacing w:line="240" w:lineRule="auto"/>
      </w:pPr>
      <w:r>
        <w:separator/>
      </w:r>
    </w:p>
  </w:footnote>
  <w:footnote w:type="continuationSeparator" w:id="0">
    <w:p w14:paraId="4CAB24D6" w14:textId="77777777" w:rsidR="00D36205" w:rsidRDefault="00D36205" w:rsidP="00DF7AA0">
      <w:pPr>
        <w:spacing w:line="240" w:lineRule="auto"/>
      </w:pPr>
      <w:r>
        <w:continuationSeparator/>
      </w:r>
    </w:p>
  </w:footnote>
  <w:footnote w:id="1">
    <w:p w14:paraId="46886578" w14:textId="77777777" w:rsidR="00C955DA" w:rsidRDefault="00C955DA" w:rsidP="00C955DA">
      <w:pPr>
        <w:pStyle w:val="FootnoteText"/>
      </w:pPr>
      <w:r>
        <w:rPr>
          <w:rStyle w:val="FootnoteReference"/>
        </w:rPr>
        <w:footnoteRef/>
      </w:r>
      <w:r w:rsidRPr="00D624D9">
        <w:t xml:space="preserve"> Harold A. Netland, </w:t>
      </w:r>
      <w:r w:rsidRPr="00D624D9">
        <w:rPr>
          <w:i/>
          <w:iCs/>
        </w:rPr>
        <w:t>Christianity &amp; Religious Diversity: Clarifying Christian Commitments in a Globalizing Age</w:t>
      </w:r>
      <w:r>
        <w:rPr>
          <w:i/>
          <w:iCs/>
        </w:rPr>
        <w:t xml:space="preserve"> </w:t>
      </w:r>
      <w:r>
        <w:t>(</w:t>
      </w:r>
      <w:r w:rsidRPr="00D624D9">
        <w:t>Grand Rapids: Baker Academic, 201</w:t>
      </w:r>
      <w:r>
        <w:t>9), ix.</w:t>
      </w:r>
    </w:p>
  </w:footnote>
  <w:footnote w:id="2">
    <w:p w14:paraId="55004AA1" w14:textId="77777777" w:rsidR="00C955DA" w:rsidRDefault="00C955DA" w:rsidP="00C955DA">
      <w:pPr>
        <w:pStyle w:val="FootnoteText"/>
      </w:pPr>
      <w:r>
        <w:rPr>
          <w:rStyle w:val="FootnoteReference"/>
        </w:rPr>
        <w:footnoteRef/>
      </w:r>
      <w:r>
        <w:t xml:space="preserve"> </w:t>
      </w:r>
      <w:r w:rsidRPr="00D579D1">
        <w:rPr>
          <w:color w:val="212529"/>
        </w:rPr>
        <w:t>Winfried Corduan, </w:t>
      </w:r>
      <w:r w:rsidRPr="00D579D1">
        <w:rPr>
          <w:rStyle w:val="Emphasis"/>
          <w:color w:val="212529"/>
        </w:rPr>
        <w:t>Neighboring Faiths: A Christian Introduction to World Religions</w:t>
      </w:r>
      <w:r w:rsidRPr="00D579D1">
        <w:rPr>
          <w:color w:val="212529"/>
        </w:rPr>
        <w:t>. 2nd ed. (Downers Grove: InterVarsity Press, 2012),</w:t>
      </w:r>
      <w:r>
        <w:rPr>
          <w:color w:val="212529"/>
        </w:rPr>
        <w:t xml:space="preserve"> 93.</w:t>
      </w:r>
    </w:p>
  </w:footnote>
  <w:footnote w:id="3">
    <w:p w14:paraId="142F0370" w14:textId="77777777" w:rsidR="00C955DA" w:rsidRDefault="00C955DA" w:rsidP="00C955DA">
      <w:pPr>
        <w:pStyle w:val="FootnoteText"/>
      </w:pPr>
      <w:r>
        <w:rPr>
          <w:rStyle w:val="FootnoteReference"/>
        </w:rPr>
        <w:footnoteRef/>
      </w:r>
      <w:r>
        <w:t xml:space="preserve"> </w:t>
      </w:r>
      <w:r w:rsidRPr="00D579D1">
        <w:rPr>
          <w:color w:val="212529"/>
        </w:rPr>
        <w:t>Winfried Corduan, </w:t>
      </w:r>
      <w:r w:rsidRPr="00D579D1">
        <w:rPr>
          <w:rStyle w:val="Emphasis"/>
          <w:color w:val="212529"/>
        </w:rPr>
        <w:t>Neighboring Faiths: A Christian Introduction to World Religions</w:t>
      </w:r>
      <w:r w:rsidRPr="00D579D1">
        <w:rPr>
          <w:color w:val="212529"/>
        </w:rPr>
        <w:t>. 2nd ed. (Downers Grove: InterVarsity Press, 2012),</w:t>
      </w:r>
      <w:r>
        <w:rPr>
          <w:color w:val="212529"/>
        </w:rPr>
        <w:t xml:space="preserve"> 93.</w:t>
      </w:r>
    </w:p>
  </w:footnote>
  <w:footnote w:id="4">
    <w:p w14:paraId="081C3706" w14:textId="77777777" w:rsidR="00EB5EEC" w:rsidRDefault="00EB5EEC" w:rsidP="00EB5EEC">
      <w:pPr>
        <w:pStyle w:val="FootnoteText"/>
      </w:pPr>
      <w:r>
        <w:rPr>
          <w:rStyle w:val="FootnoteReference"/>
        </w:rPr>
        <w:footnoteRef/>
      </w:r>
      <w:r>
        <w:t xml:space="preserve"> Varun Soni, “</w:t>
      </w:r>
      <w:r w:rsidRPr="00B66524">
        <w:t>Introduction to Islam</w:t>
      </w:r>
      <w:r>
        <w:t>| Belief |</w:t>
      </w:r>
      <w:r w:rsidRPr="00B66524">
        <w:t xml:space="preserve"> </w:t>
      </w:r>
      <w:r w:rsidRPr="008D577A">
        <w:t>Oprah Winfrey Network</w:t>
      </w:r>
      <w:r>
        <w:t>” (Course video in APOL 525</w:t>
      </w:r>
      <w:r w:rsidRPr="00820F43">
        <w:rPr>
          <w:rFonts w:cs="Times New Roman"/>
        </w:rPr>
        <w:t xml:space="preserve"> at Liberty University, Lynchburg, VA, </w:t>
      </w:r>
      <w:r>
        <w:rPr>
          <w:rFonts w:cs="Times New Roman"/>
        </w:rPr>
        <w:t>July 18</w:t>
      </w:r>
      <w:r w:rsidRPr="00820F43">
        <w:rPr>
          <w:rFonts w:cs="Times New Roman"/>
        </w:rPr>
        <w:t>, 2021).</w:t>
      </w:r>
    </w:p>
  </w:footnote>
  <w:footnote w:id="5">
    <w:p w14:paraId="73B60CCA" w14:textId="77777777" w:rsidR="00EB5EEC" w:rsidRDefault="00EB5EEC" w:rsidP="00EB5EEC">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96.</w:t>
      </w:r>
    </w:p>
  </w:footnote>
  <w:footnote w:id="6">
    <w:p w14:paraId="67FBB437" w14:textId="77777777" w:rsidR="00EB5EEC" w:rsidRDefault="00EB5EEC" w:rsidP="00EB5EEC">
      <w:pPr>
        <w:pStyle w:val="FootnoteText"/>
      </w:pPr>
      <w:r>
        <w:rPr>
          <w:rStyle w:val="FootnoteReference"/>
        </w:rPr>
        <w:footnoteRef/>
      </w:r>
      <w:r>
        <w:t xml:space="preserve"> Ibid., 96.</w:t>
      </w:r>
    </w:p>
  </w:footnote>
  <w:footnote w:id="7">
    <w:p w14:paraId="702F5401" w14:textId="77777777" w:rsidR="00EB5EEC" w:rsidRDefault="00EB5EEC" w:rsidP="00EB5EEC">
      <w:pPr>
        <w:pStyle w:val="FootnoteText"/>
      </w:pPr>
      <w:r>
        <w:rPr>
          <w:rStyle w:val="FootnoteReference"/>
        </w:rPr>
        <w:footnoteRef/>
      </w:r>
      <w:r>
        <w:t xml:space="preserve"> Nabeel Qureshi, </w:t>
      </w:r>
      <w:r w:rsidRPr="008B697C">
        <w:rPr>
          <w:i/>
          <w:iCs/>
        </w:rPr>
        <w:t>No God but One: Allah or Jesus</w:t>
      </w:r>
      <w:r>
        <w:t xml:space="preserve"> (Grand Rapids, MI: Zondervan, 2016), 244.</w:t>
      </w:r>
    </w:p>
  </w:footnote>
  <w:footnote w:id="8">
    <w:p w14:paraId="1DA0BDC2" w14:textId="77777777" w:rsidR="00EB5EEC" w:rsidRDefault="00EB5EEC" w:rsidP="00EB5EEC">
      <w:pPr>
        <w:pStyle w:val="FootnoteText"/>
      </w:pPr>
      <w:r>
        <w:rPr>
          <w:rStyle w:val="FootnoteReference"/>
        </w:rPr>
        <w:footnoteRef/>
      </w:r>
      <w:r>
        <w:t xml:space="preserve"> </w:t>
      </w:r>
      <w:r w:rsidRPr="00D67221">
        <w:rPr>
          <w:i/>
          <w:iCs/>
        </w:rPr>
        <w:t>The Qur'an.</w:t>
      </w:r>
      <w:r w:rsidRPr="00D67221">
        <w:t xml:space="preserve"> Trans. by M.A.S. Abdel Haleem</w:t>
      </w:r>
      <w:r>
        <w:t xml:space="preserve"> (</w:t>
      </w:r>
      <w:r w:rsidRPr="00D67221">
        <w:t>Oxford UP, 2005</w:t>
      </w:r>
      <w:r>
        <w:t>)</w:t>
      </w:r>
      <w:r w:rsidRPr="00D67221">
        <w:t>.</w:t>
      </w:r>
    </w:p>
  </w:footnote>
  <w:footnote w:id="9">
    <w:p w14:paraId="5861C838" w14:textId="77777777" w:rsidR="00EB5EEC" w:rsidRDefault="00EB5EEC" w:rsidP="00EB5EEC">
      <w:pPr>
        <w:pStyle w:val="FootnoteText"/>
      </w:pPr>
      <w:r>
        <w:rPr>
          <w:rStyle w:val="FootnoteReference"/>
        </w:rPr>
        <w:footnoteRef/>
      </w:r>
      <w:r>
        <w:t xml:space="preserve"> </w:t>
      </w:r>
      <w:r w:rsidRPr="00724602">
        <w:t xml:space="preserve">Gould, Paul M., Travis Dickinson, and R. Keith Loftin. “Counterfeits Gospels: World Religions.” In </w:t>
      </w:r>
      <w:r w:rsidRPr="00724602">
        <w:rPr>
          <w:i/>
          <w:iCs/>
        </w:rPr>
        <w:t>Stand Firm: Apologetics and the Brilliance of the Gospel</w:t>
      </w:r>
      <w:r>
        <w:t xml:space="preserve"> (</w:t>
      </w:r>
      <w:r w:rsidRPr="00724602">
        <w:t>Nashville, TN: B&amp;H Academic, 2018</w:t>
      </w:r>
      <w:r>
        <w:t>), 167</w:t>
      </w:r>
      <w:r w:rsidRPr="00724602">
        <w:t>.</w:t>
      </w:r>
    </w:p>
  </w:footnote>
  <w:footnote w:id="10">
    <w:p w14:paraId="7DDABA32" w14:textId="77777777" w:rsidR="00EB5EEC" w:rsidRDefault="00EB5EEC" w:rsidP="00EB5EEC">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118.</w:t>
      </w:r>
    </w:p>
  </w:footnote>
  <w:footnote w:id="11">
    <w:p w14:paraId="3A3F2554" w14:textId="0E0F8BA8" w:rsidR="00EB5EEC" w:rsidRDefault="00EB5EEC" w:rsidP="00EB5EEC">
      <w:pPr>
        <w:pStyle w:val="FootnoteText"/>
      </w:pPr>
      <w:r>
        <w:rPr>
          <w:rStyle w:val="FootnoteReference"/>
        </w:rPr>
        <w:footnoteRef/>
      </w:r>
      <w:r>
        <w:t xml:space="preserve"> </w:t>
      </w:r>
      <w:r w:rsidR="00C1228A" w:rsidRPr="00D579D1">
        <w:rPr>
          <w:color w:val="212529"/>
        </w:rPr>
        <w:t>Corduan, </w:t>
      </w:r>
      <w:r w:rsidR="00C1228A" w:rsidRPr="00D579D1">
        <w:rPr>
          <w:rStyle w:val="Emphasis"/>
          <w:color w:val="212529"/>
        </w:rPr>
        <w:t>Neighboring Faiths</w:t>
      </w:r>
      <w:r w:rsidR="00C1228A">
        <w:rPr>
          <w:rStyle w:val="Emphasis"/>
          <w:color w:val="212529"/>
        </w:rPr>
        <w:t>,</w:t>
      </w:r>
      <w:r w:rsidR="00C1228A">
        <w:t xml:space="preserve"> </w:t>
      </w:r>
      <w:r>
        <w:t>123.</w:t>
      </w:r>
    </w:p>
  </w:footnote>
  <w:footnote w:id="12">
    <w:p w14:paraId="2B0529DF" w14:textId="77777777" w:rsidR="00EB5EEC" w:rsidRDefault="00EB5EEC" w:rsidP="00EB5EEC">
      <w:pPr>
        <w:pStyle w:val="FootnoteText"/>
      </w:pPr>
      <w:r>
        <w:rPr>
          <w:rStyle w:val="FootnoteReference"/>
        </w:rPr>
        <w:footnoteRef/>
      </w:r>
      <w:r>
        <w:t xml:space="preserve"> Nabeel Qureshi, </w:t>
      </w:r>
      <w:r>
        <w:rPr>
          <w:i/>
          <w:iCs/>
        </w:rPr>
        <w:t>Seeking Allah Finding Jesus: A Devout Muslim Encounters Christianity</w:t>
      </w:r>
      <w:r>
        <w:t xml:space="preserve"> (Grand Rapids, MI: Zondervan, 2016), 68.</w:t>
      </w:r>
    </w:p>
  </w:footnote>
  <w:footnote w:id="13">
    <w:p w14:paraId="3AA6D5BA" w14:textId="77777777" w:rsidR="00EB5EEC" w:rsidRPr="00637A86" w:rsidRDefault="00EB5EEC" w:rsidP="00EB5EEC">
      <w:pPr>
        <w:pStyle w:val="FootnoteText"/>
      </w:pPr>
      <w:r>
        <w:rPr>
          <w:rStyle w:val="FootnoteReference"/>
        </w:rPr>
        <w:footnoteRef/>
      </w:r>
      <w:r>
        <w:t xml:space="preserve"> Qureshi, </w:t>
      </w:r>
      <w:r>
        <w:rPr>
          <w:i/>
          <w:iCs/>
        </w:rPr>
        <w:t>Seeking Allah Finding Jesus,</w:t>
      </w:r>
      <w:r>
        <w:t xml:space="preserve"> 69.</w:t>
      </w:r>
    </w:p>
  </w:footnote>
  <w:footnote w:id="14">
    <w:p w14:paraId="354F0641" w14:textId="77777777" w:rsidR="009C25E5" w:rsidRPr="00FF470D" w:rsidRDefault="009C25E5" w:rsidP="009C25E5">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93.</w:t>
      </w:r>
    </w:p>
  </w:footnote>
  <w:footnote w:id="15">
    <w:p w14:paraId="5709BA58" w14:textId="77777777" w:rsidR="009C25E5" w:rsidRDefault="009C25E5" w:rsidP="009C25E5">
      <w:pPr>
        <w:pStyle w:val="FootnoteText"/>
      </w:pPr>
      <w:r>
        <w:rPr>
          <w:rStyle w:val="FootnoteReference"/>
        </w:rPr>
        <w:footnoteRef/>
      </w:r>
      <w:r>
        <w:t xml:space="preserve"> </w:t>
      </w:r>
      <w:r w:rsidRPr="00724602">
        <w:t>Gould, “Counterfeits Gospels: World Religions</w:t>
      </w:r>
      <w:r>
        <w:t>," 167.</w:t>
      </w:r>
    </w:p>
  </w:footnote>
  <w:footnote w:id="16">
    <w:p w14:paraId="013212E6" w14:textId="5B71A8AF" w:rsidR="009C25E5" w:rsidRDefault="009C25E5" w:rsidP="009C25E5">
      <w:pPr>
        <w:pStyle w:val="FootnoteText"/>
      </w:pPr>
      <w:r>
        <w:rPr>
          <w:rStyle w:val="FootnoteReference"/>
        </w:rPr>
        <w:footnoteRef/>
      </w:r>
      <w:r>
        <w:t xml:space="preserve"> </w:t>
      </w:r>
      <w:r w:rsidR="002751AB">
        <w:t>Ibid.,</w:t>
      </w:r>
      <w:r>
        <w:t xml:space="preserve"> 167.</w:t>
      </w:r>
    </w:p>
  </w:footnote>
  <w:footnote w:id="17">
    <w:p w14:paraId="1B6969EA" w14:textId="77777777" w:rsidR="004F5C98" w:rsidRDefault="004F5C98" w:rsidP="004F5C98">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120.</w:t>
      </w:r>
    </w:p>
  </w:footnote>
  <w:footnote w:id="18">
    <w:p w14:paraId="3D2590F2" w14:textId="77777777" w:rsidR="004F5C98" w:rsidRDefault="004F5C98" w:rsidP="004F5C98">
      <w:pPr>
        <w:pStyle w:val="FootnoteText"/>
      </w:pPr>
      <w:r>
        <w:rPr>
          <w:rStyle w:val="FootnoteReference"/>
        </w:rPr>
        <w:footnoteRef/>
      </w:r>
      <w:r>
        <w:t xml:space="preserve"> </w:t>
      </w:r>
      <w:r w:rsidRPr="00D579D1">
        <w:rPr>
          <w:color w:val="212529"/>
        </w:rPr>
        <w:t>Winfried Corduan, </w:t>
      </w:r>
      <w:r w:rsidRPr="00D579D1">
        <w:rPr>
          <w:rStyle w:val="Emphasis"/>
          <w:color w:val="212529"/>
        </w:rPr>
        <w:t>Neighboring Faiths: A Christian Introduction to World Religions</w:t>
      </w:r>
      <w:r w:rsidRPr="00D579D1">
        <w:rPr>
          <w:color w:val="212529"/>
        </w:rPr>
        <w:t>. 2nd ed. (Downers Grove: InterVarsity Press, 2012),</w:t>
      </w:r>
      <w:r>
        <w:rPr>
          <w:color w:val="212529"/>
        </w:rPr>
        <w:t xml:space="preserve"> 120.</w:t>
      </w:r>
    </w:p>
  </w:footnote>
  <w:footnote w:id="19">
    <w:p w14:paraId="77A9666B" w14:textId="77777777" w:rsidR="004F5C98" w:rsidRDefault="004F5C98" w:rsidP="004F5C98">
      <w:pPr>
        <w:pStyle w:val="FootnoteText"/>
      </w:pPr>
      <w:r>
        <w:rPr>
          <w:rStyle w:val="FootnoteReference"/>
        </w:rPr>
        <w:footnoteRef/>
      </w:r>
      <w:r>
        <w:t xml:space="preserve"> </w:t>
      </w:r>
      <w:r w:rsidRPr="00820F43">
        <w:rPr>
          <w:rFonts w:cs="Times New Roman"/>
        </w:rPr>
        <w:t xml:space="preserve">Unless otherwise noted, all biblical passages referenced are in the </w:t>
      </w:r>
      <w:r w:rsidRPr="000C31D5">
        <w:rPr>
          <w:rFonts w:cs="Times New Roman"/>
          <w:i/>
          <w:iCs/>
        </w:rPr>
        <w:t>New International Version</w:t>
      </w:r>
      <w:r w:rsidRPr="00820F43">
        <w:rPr>
          <w:rFonts w:cs="Times New Roman"/>
        </w:rPr>
        <w:t xml:space="preserve"> (Grand Rapids, MI: Zondervan, 2011).</w:t>
      </w:r>
    </w:p>
  </w:footnote>
  <w:footnote w:id="20">
    <w:p w14:paraId="1DBA892F" w14:textId="77777777" w:rsidR="004F5C98" w:rsidRPr="00E721B9" w:rsidRDefault="004F5C98" w:rsidP="004F5C98">
      <w:pPr>
        <w:pStyle w:val="FootnoteText"/>
        <w:rPr>
          <w:rFonts w:cs="Times New Roman"/>
        </w:rPr>
      </w:pPr>
      <w:r>
        <w:rPr>
          <w:rStyle w:val="FootnoteReference"/>
        </w:rPr>
        <w:footnoteRef/>
      </w:r>
      <w:r>
        <w:t xml:space="preserve"> </w:t>
      </w:r>
      <w:r w:rsidRPr="00E721B9">
        <w:rPr>
          <w:rFonts w:cs="Times New Roman"/>
          <w:color w:val="212529"/>
          <w:shd w:val="clear" w:color="auto" w:fill="FFFFFF"/>
        </w:rPr>
        <w:t>David Wheeler,</w:t>
      </w:r>
      <w:r w:rsidRPr="00E721B9">
        <w:rPr>
          <w:rStyle w:val="Emphasis"/>
          <w:rFonts w:cs="Times New Roman"/>
          <w:color w:val="212529"/>
          <w:shd w:val="clear" w:color="auto" w:fill="FFFFFF"/>
        </w:rPr>
        <w:t xml:space="preserve"> Servanthood Evangelism Manual </w:t>
      </w:r>
      <w:r w:rsidRPr="00E721B9">
        <w:rPr>
          <w:rFonts w:cs="Times New Roman"/>
          <w:color w:val="212529"/>
          <w:shd w:val="clear" w:color="auto" w:fill="FFFFFF"/>
        </w:rPr>
        <w:t>(Nashville: Lifeway, 2018), 1.</w:t>
      </w:r>
    </w:p>
  </w:footnote>
  <w:footnote w:id="21">
    <w:p w14:paraId="4D440134" w14:textId="5D88169E" w:rsidR="004F5C98" w:rsidRDefault="004F5C98" w:rsidP="004F5C98">
      <w:pPr>
        <w:pStyle w:val="FootnoteText"/>
      </w:pPr>
      <w:r w:rsidRPr="00E721B9">
        <w:rPr>
          <w:rStyle w:val="FootnoteReference"/>
          <w:rFonts w:cs="Times New Roman"/>
        </w:rPr>
        <w:footnoteRef/>
      </w:r>
      <w:r w:rsidRPr="00E721B9">
        <w:rPr>
          <w:rFonts w:cs="Times New Roman"/>
        </w:rPr>
        <w:t xml:space="preserve"> </w:t>
      </w:r>
      <w:r w:rsidR="00C1228A" w:rsidRPr="00E721B9">
        <w:rPr>
          <w:rFonts w:cs="Times New Roman"/>
          <w:color w:val="212529"/>
          <w:shd w:val="clear" w:color="auto" w:fill="FFFFFF"/>
        </w:rPr>
        <w:t>Wheeler,</w:t>
      </w:r>
      <w:r w:rsidR="00C1228A" w:rsidRPr="00E721B9">
        <w:rPr>
          <w:rStyle w:val="Emphasis"/>
          <w:rFonts w:cs="Times New Roman"/>
          <w:color w:val="212529"/>
          <w:shd w:val="clear" w:color="auto" w:fill="FFFFFF"/>
        </w:rPr>
        <w:t xml:space="preserve"> Servanthood Evangelism Manual</w:t>
      </w:r>
      <w:r w:rsidR="00C1228A">
        <w:rPr>
          <w:rStyle w:val="Emphasis"/>
          <w:rFonts w:cs="Times New Roman"/>
          <w:color w:val="212529"/>
          <w:shd w:val="clear" w:color="auto" w:fill="FFFFFF"/>
        </w:rPr>
        <w:t>,</w:t>
      </w:r>
      <w:r w:rsidR="00C1228A" w:rsidRPr="00E721B9">
        <w:rPr>
          <w:rStyle w:val="Emphasis"/>
          <w:rFonts w:cs="Times New Roman"/>
          <w:color w:val="212529"/>
          <w:shd w:val="clear" w:color="auto" w:fill="FFFFFF"/>
        </w:rPr>
        <w:t xml:space="preserve"> </w:t>
      </w:r>
      <w:r w:rsidRPr="00E721B9">
        <w:rPr>
          <w:rFonts w:cs="Times New Roman"/>
          <w:color w:val="212529"/>
          <w:shd w:val="clear" w:color="auto" w:fill="FFFFFF"/>
        </w:rPr>
        <w:t>1.</w:t>
      </w:r>
    </w:p>
  </w:footnote>
  <w:footnote w:id="22">
    <w:p w14:paraId="64683208" w14:textId="77777777" w:rsidR="004F5C98" w:rsidRDefault="004F5C98" w:rsidP="004F5C98">
      <w:pPr>
        <w:pStyle w:val="FootnoteText"/>
      </w:pPr>
      <w:r>
        <w:rPr>
          <w:rStyle w:val="FootnoteReference"/>
        </w:rPr>
        <w:footnoteRef/>
      </w:r>
      <w:r>
        <w:t xml:space="preserve"> </w:t>
      </w:r>
      <w:r w:rsidRPr="00D579D1">
        <w:rPr>
          <w:color w:val="212529"/>
        </w:rPr>
        <w:t>Corduan, </w:t>
      </w:r>
      <w:r w:rsidRPr="00D579D1">
        <w:rPr>
          <w:rStyle w:val="Emphasis"/>
          <w:color w:val="212529"/>
        </w:rPr>
        <w:t>Neighboring Faiths</w:t>
      </w:r>
      <w:r>
        <w:rPr>
          <w:rStyle w:val="Emphasis"/>
          <w:color w:val="212529"/>
        </w:rPr>
        <w:t xml:space="preserve">, </w:t>
      </w:r>
      <w:r>
        <w:rPr>
          <w:rStyle w:val="Emphasis"/>
          <w:i w:val="0"/>
          <w:iCs w:val="0"/>
          <w:color w:val="212529"/>
        </w:rPr>
        <w:t>135.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0239A"/>
    <w:rsid w:val="000108B0"/>
    <w:rsid w:val="0004285A"/>
    <w:rsid w:val="000447AF"/>
    <w:rsid w:val="00045F7B"/>
    <w:rsid w:val="0006299D"/>
    <w:rsid w:val="0008569C"/>
    <w:rsid w:val="000B1EDA"/>
    <w:rsid w:val="000C2FB6"/>
    <w:rsid w:val="000D41A4"/>
    <w:rsid w:val="000E6190"/>
    <w:rsid w:val="00101FF8"/>
    <w:rsid w:val="00106286"/>
    <w:rsid w:val="00114B0E"/>
    <w:rsid w:val="00121953"/>
    <w:rsid w:val="00134BCC"/>
    <w:rsid w:val="00135D6A"/>
    <w:rsid w:val="00141902"/>
    <w:rsid w:val="001517D4"/>
    <w:rsid w:val="00155F02"/>
    <w:rsid w:val="001631D2"/>
    <w:rsid w:val="00174C31"/>
    <w:rsid w:val="001918B7"/>
    <w:rsid w:val="001A616E"/>
    <w:rsid w:val="001B35F3"/>
    <w:rsid w:val="001F585E"/>
    <w:rsid w:val="0021064F"/>
    <w:rsid w:val="00230921"/>
    <w:rsid w:val="002401B1"/>
    <w:rsid w:val="002555F0"/>
    <w:rsid w:val="002563A6"/>
    <w:rsid w:val="002751AB"/>
    <w:rsid w:val="00283562"/>
    <w:rsid w:val="002A1694"/>
    <w:rsid w:val="002A6EBA"/>
    <w:rsid w:val="002B7C8F"/>
    <w:rsid w:val="002C2FAF"/>
    <w:rsid w:val="002C55A1"/>
    <w:rsid w:val="003020F2"/>
    <w:rsid w:val="0030455F"/>
    <w:rsid w:val="003134DA"/>
    <w:rsid w:val="0031579C"/>
    <w:rsid w:val="00332E7E"/>
    <w:rsid w:val="00344625"/>
    <w:rsid w:val="00350B9C"/>
    <w:rsid w:val="003775FD"/>
    <w:rsid w:val="00397061"/>
    <w:rsid w:val="003971DD"/>
    <w:rsid w:val="003B151C"/>
    <w:rsid w:val="003C0A92"/>
    <w:rsid w:val="003C0B5A"/>
    <w:rsid w:val="003C0EC6"/>
    <w:rsid w:val="003C2E6C"/>
    <w:rsid w:val="003C409F"/>
    <w:rsid w:val="003E7560"/>
    <w:rsid w:val="003F6E92"/>
    <w:rsid w:val="00400C66"/>
    <w:rsid w:val="00400C96"/>
    <w:rsid w:val="00404BF1"/>
    <w:rsid w:val="00432FB1"/>
    <w:rsid w:val="004676DD"/>
    <w:rsid w:val="00484ECF"/>
    <w:rsid w:val="004A2B84"/>
    <w:rsid w:val="004F1E5C"/>
    <w:rsid w:val="004F5C98"/>
    <w:rsid w:val="00500EFC"/>
    <w:rsid w:val="00504BD8"/>
    <w:rsid w:val="00536A24"/>
    <w:rsid w:val="005449C8"/>
    <w:rsid w:val="00550A69"/>
    <w:rsid w:val="005515FB"/>
    <w:rsid w:val="0056155C"/>
    <w:rsid w:val="005710B0"/>
    <w:rsid w:val="00591475"/>
    <w:rsid w:val="005B2A98"/>
    <w:rsid w:val="005E7F5F"/>
    <w:rsid w:val="00600CAE"/>
    <w:rsid w:val="00637A86"/>
    <w:rsid w:val="00646079"/>
    <w:rsid w:val="00656585"/>
    <w:rsid w:val="00684DC2"/>
    <w:rsid w:val="006876D2"/>
    <w:rsid w:val="00690AD8"/>
    <w:rsid w:val="006A332A"/>
    <w:rsid w:val="006B2405"/>
    <w:rsid w:val="006B3547"/>
    <w:rsid w:val="006D1F3F"/>
    <w:rsid w:val="007215D2"/>
    <w:rsid w:val="00724602"/>
    <w:rsid w:val="007517B8"/>
    <w:rsid w:val="007705BC"/>
    <w:rsid w:val="00775360"/>
    <w:rsid w:val="00777A48"/>
    <w:rsid w:val="00793A09"/>
    <w:rsid w:val="007E05B1"/>
    <w:rsid w:val="007E52F0"/>
    <w:rsid w:val="007E71EC"/>
    <w:rsid w:val="007F788B"/>
    <w:rsid w:val="008016A0"/>
    <w:rsid w:val="008038B4"/>
    <w:rsid w:val="00803D49"/>
    <w:rsid w:val="00805553"/>
    <w:rsid w:val="00810CAB"/>
    <w:rsid w:val="00823597"/>
    <w:rsid w:val="00827CF6"/>
    <w:rsid w:val="0083042D"/>
    <w:rsid w:val="0083199A"/>
    <w:rsid w:val="00846716"/>
    <w:rsid w:val="00861DD8"/>
    <w:rsid w:val="008675C0"/>
    <w:rsid w:val="00890311"/>
    <w:rsid w:val="008B697C"/>
    <w:rsid w:val="008D577A"/>
    <w:rsid w:val="008D6E51"/>
    <w:rsid w:val="008E5BBF"/>
    <w:rsid w:val="008F6894"/>
    <w:rsid w:val="00910661"/>
    <w:rsid w:val="009131E7"/>
    <w:rsid w:val="00930349"/>
    <w:rsid w:val="0093103D"/>
    <w:rsid w:val="00934FC4"/>
    <w:rsid w:val="009521C9"/>
    <w:rsid w:val="00965A4C"/>
    <w:rsid w:val="009915B5"/>
    <w:rsid w:val="009959F5"/>
    <w:rsid w:val="009A2C33"/>
    <w:rsid w:val="009A38BD"/>
    <w:rsid w:val="009C136E"/>
    <w:rsid w:val="009C2289"/>
    <w:rsid w:val="009C25E5"/>
    <w:rsid w:val="009E46B4"/>
    <w:rsid w:val="009E5C39"/>
    <w:rsid w:val="00A007EC"/>
    <w:rsid w:val="00A063D7"/>
    <w:rsid w:val="00A06E1A"/>
    <w:rsid w:val="00A07CBC"/>
    <w:rsid w:val="00A2220C"/>
    <w:rsid w:val="00A36B5C"/>
    <w:rsid w:val="00A43B4D"/>
    <w:rsid w:val="00A53427"/>
    <w:rsid w:val="00A70889"/>
    <w:rsid w:val="00A70E15"/>
    <w:rsid w:val="00A752F0"/>
    <w:rsid w:val="00AB05C0"/>
    <w:rsid w:val="00AC789B"/>
    <w:rsid w:val="00AD1015"/>
    <w:rsid w:val="00AE1A54"/>
    <w:rsid w:val="00AE1E2E"/>
    <w:rsid w:val="00AF315F"/>
    <w:rsid w:val="00AF3CDD"/>
    <w:rsid w:val="00AF6D06"/>
    <w:rsid w:val="00B12D3D"/>
    <w:rsid w:val="00B141BE"/>
    <w:rsid w:val="00B16F57"/>
    <w:rsid w:val="00B216BD"/>
    <w:rsid w:val="00B334E6"/>
    <w:rsid w:val="00B34C91"/>
    <w:rsid w:val="00B66524"/>
    <w:rsid w:val="00B92FEC"/>
    <w:rsid w:val="00BB06A1"/>
    <w:rsid w:val="00BB48E6"/>
    <w:rsid w:val="00BC26E8"/>
    <w:rsid w:val="00BF09C1"/>
    <w:rsid w:val="00BF1072"/>
    <w:rsid w:val="00BF6365"/>
    <w:rsid w:val="00BF7136"/>
    <w:rsid w:val="00C05C7F"/>
    <w:rsid w:val="00C05F96"/>
    <w:rsid w:val="00C1228A"/>
    <w:rsid w:val="00C22029"/>
    <w:rsid w:val="00C46467"/>
    <w:rsid w:val="00C6173E"/>
    <w:rsid w:val="00C70A4A"/>
    <w:rsid w:val="00C7456A"/>
    <w:rsid w:val="00C750AF"/>
    <w:rsid w:val="00C75AB6"/>
    <w:rsid w:val="00C955DA"/>
    <w:rsid w:val="00CB2F65"/>
    <w:rsid w:val="00CC135A"/>
    <w:rsid w:val="00CE19FA"/>
    <w:rsid w:val="00CE489C"/>
    <w:rsid w:val="00D02285"/>
    <w:rsid w:val="00D072C2"/>
    <w:rsid w:val="00D17405"/>
    <w:rsid w:val="00D36205"/>
    <w:rsid w:val="00D41CC6"/>
    <w:rsid w:val="00D508D7"/>
    <w:rsid w:val="00D624D9"/>
    <w:rsid w:val="00D63C40"/>
    <w:rsid w:val="00D67221"/>
    <w:rsid w:val="00D850DE"/>
    <w:rsid w:val="00D97A09"/>
    <w:rsid w:val="00DB45AF"/>
    <w:rsid w:val="00DB71C0"/>
    <w:rsid w:val="00DD0D8B"/>
    <w:rsid w:val="00DD1BC9"/>
    <w:rsid w:val="00DD7D0F"/>
    <w:rsid w:val="00DD7DF3"/>
    <w:rsid w:val="00DE18CF"/>
    <w:rsid w:val="00DE5146"/>
    <w:rsid w:val="00DF7AA0"/>
    <w:rsid w:val="00E02690"/>
    <w:rsid w:val="00E14FD2"/>
    <w:rsid w:val="00E25E34"/>
    <w:rsid w:val="00E33F9B"/>
    <w:rsid w:val="00E34F3B"/>
    <w:rsid w:val="00E52526"/>
    <w:rsid w:val="00E6776E"/>
    <w:rsid w:val="00E721B9"/>
    <w:rsid w:val="00EB5EEC"/>
    <w:rsid w:val="00ED04CE"/>
    <w:rsid w:val="00ED27B4"/>
    <w:rsid w:val="00EF6624"/>
    <w:rsid w:val="00F228DC"/>
    <w:rsid w:val="00F630B3"/>
    <w:rsid w:val="00F73DFD"/>
    <w:rsid w:val="00F8465E"/>
    <w:rsid w:val="00F94E20"/>
    <w:rsid w:val="00F96131"/>
    <w:rsid w:val="00FB6365"/>
    <w:rsid w:val="00FF4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4F5C98"/>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4F5C98"/>
    <w:pPr>
      <w:keepNext/>
      <w:keepLines/>
      <w:jc w:val="center"/>
      <w:outlineLvl w:val="1"/>
    </w:pPr>
    <w:rPr>
      <w:rFonts w:eastAsiaTheme="majorEastAsia" w:cstheme="majorBidi"/>
      <w:bCs/>
      <w:color w:val="0E101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C98"/>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4F5C98"/>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character" w:customStyle="1" w:styleId="text">
    <w:name w:val="text"/>
    <w:basedOn w:val="DefaultParagraphFont"/>
    <w:rsid w:val="00591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012573">
      <w:bodyDiv w:val="1"/>
      <w:marLeft w:val="0"/>
      <w:marRight w:val="0"/>
      <w:marTop w:val="0"/>
      <w:marBottom w:val="0"/>
      <w:divBdr>
        <w:top w:val="none" w:sz="0" w:space="0" w:color="auto"/>
        <w:left w:val="none" w:sz="0" w:space="0" w:color="auto"/>
        <w:bottom w:val="none" w:sz="0" w:space="0" w:color="auto"/>
        <w:right w:val="none" w:sz="0" w:space="0" w:color="auto"/>
      </w:divBdr>
    </w:div>
    <w:div w:id="294876661">
      <w:bodyDiv w:val="1"/>
      <w:marLeft w:val="0"/>
      <w:marRight w:val="0"/>
      <w:marTop w:val="0"/>
      <w:marBottom w:val="0"/>
      <w:divBdr>
        <w:top w:val="none" w:sz="0" w:space="0" w:color="auto"/>
        <w:left w:val="none" w:sz="0" w:space="0" w:color="auto"/>
        <w:bottom w:val="none" w:sz="0" w:space="0" w:color="auto"/>
        <w:right w:val="none" w:sz="0" w:space="0" w:color="auto"/>
      </w:divBdr>
    </w:div>
    <w:div w:id="310599249">
      <w:bodyDiv w:val="1"/>
      <w:marLeft w:val="0"/>
      <w:marRight w:val="0"/>
      <w:marTop w:val="0"/>
      <w:marBottom w:val="0"/>
      <w:divBdr>
        <w:top w:val="none" w:sz="0" w:space="0" w:color="auto"/>
        <w:left w:val="none" w:sz="0" w:space="0" w:color="auto"/>
        <w:bottom w:val="none" w:sz="0" w:space="0" w:color="auto"/>
        <w:right w:val="none" w:sz="0" w:space="0" w:color="auto"/>
      </w:divBdr>
      <w:divsChild>
        <w:div w:id="5063721">
          <w:marLeft w:val="0"/>
          <w:marRight w:val="0"/>
          <w:marTop w:val="0"/>
          <w:marBottom w:val="0"/>
          <w:divBdr>
            <w:top w:val="none" w:sz="0" w:space="0" w:color="auto"/>
            <w:left w:val="none" w:sz="0" w:space="0" w:color="auto"/>
            <w:bottom w:val="none" w:sz="0" w:space="0" w:color="auto"/>
            <w:right w:val="none" w:sz="0" w:space="0" w:color="auto"/>
          </w:divBdr>
        </w:div>
        <w:div w:id="2128888819">
          <w:marLeft w:val="0"/>
          <w:marRight w:val="0"/>
          <w:marTop w:val="0"/>
          <w:marBottom w:val="0"/>
          <w:divBdr>
            <w:top w:val="none" w:sz="0" w:space="0" w:color="auto"/>
            <w:left w:val="none" w:sz="0" w:space="0" w:color="auto"/>
            <w:bottom w:val="none" w:sz="0" w:space="0" w:color="auto"/>
            <w:right w:val="none" w:sz="0" w:space="0" w:color="auto"/>
          </w:divBdr>
        </w:div>
        <w:div w:id="1409035761">
          <w:marLeft w:val="0"/>
          <w:marRight w:val="0"/>
          <w:marTop w:val="0"/>
          <w:marBottom w:val="0"/>
          <w:divBdr>
            <w:top w:val="none" w:sz="0" w:space="0" w:color="auto"/>
            <w:left w:val="none" w:sz="0" w:space="0" w:color="auto"/>
            <w:bottom w:val="none" w:sz="0" w:space="0" w:color="auto"/>
            <w:right w:val="none" w:sz="0" w:space="0" w:color="auto"/>
          </w:divBdr>
        </w:div>
      </w:divsChild>
    </w:div>
    <w:div w:id="331495895">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589855350">
      <w:bodyDiv w:val="1"/>
      <w:marLeft w:val="0"/>
      <w:marRight w:val="0"/>
      <w:marTop w:val="0"/>
      <w:marBottom w:val="0"/>
      <w:divBdr>
        <w:top w:val="none" w:sz="0" w:space="0" w:color="auto"/>
        <w:left w:val="none" w:sz="0" w:space="0" w:color="auto"/>
        <w:bottom w:val="none" w:sz="0" w:space="0" w:color="auto"/>
        <w:right w:val="none" w:sz="0" w:space="0" w:color="auto"/>
      </w:divBdr>
    </w:div>
    <w:div w:id="594363458">
      <w:bodyDiv w:val="1"/>
      <w:marLeft w:val="0"/>
      <w:marRight w:val="0"/>
      <w:marTop w:val="0"/>
      <w:marBottom w:val="0"/>
      <w:divBdr>
        <w:top w:val="none" w:sz="0" w:space="0" w:color="auto"/>
        <w:left w:val="none" w:sz="0" w:space="0" w:color="auto"/>
        <w:bottom w:val="none" w:sz="0" w:space="0" w:color="auto"/>
        <w:right w:val="none" w:sz="0" w:space="0" w:color="auto"/>
      </w:divBdr>
    </w:div>
    <w:div w:id="1006982773">
      <w:bodyDiv w:val="1"/>
      <w:marLeft w:val="0"/>
      <w:marRight w:val="0"/>
      <w:marTop w:val="0"/>
      <w:marBottom w:val="0"/>
      <w:divBdr>
        <w:top w:val="none" w:sz="0" w:space="0" w:color="auto"/>
        <w:left w:val="none" w:sz="0" w:space="0" w:color="auto"/>
        <w:bottom w:val="none" w:sz="0" w:space="0" w:color="auto"/>
        <w:right w:val="none" w:sz="0" w:space="0" w:color="auto"/>
      </w:divBdr>
      <w:divsChild>
        <w:div w:id="467629202">
          <w:marLeft w:val="0"/>
          <w:marRight w:val="0"/>
          <w:marTop w:val="0"/>
          <w:marBottom w:val="0"/>
          <w:divBdr>
            <w:top w:val="none" w:sz="0" w:space="0" w:color="auto"/>
            <w:left w:val="none" w:sz="0" w:space="0" w:color="auto"/>
            <w:bottom w:val="none" w:sz="0" w:space="0" w:color="auto"/>
            <w:right w:val="none" w:sz="0" w:space="0" w:color="auto"/>
          </w:divBdr>
        </w:div>
        <w:div w:id="773672736">
          <w:marLeft w:val="0"/>
          <w:marRight w:val="0"/>
          <w:marTop w:val="0"/>
          <w:marBottom w:val="0"/>
          <w:divBdr>
            <w:top w:val="none" w:sz="0" w:space="0" w:color="auto"/>
            <w:left w:val="none" w:sz="0" w:space="0" w:color="auto"/>
            <w:bottom w:val="none" w:sz="0" w:space="0" w:color="auto"/>
            <w:right w:val="none" w:sz="0" w:space="0" w:color="auto"/>
          </w:divBdr>
        </w:div>
        <w:div w:id="817502972">
          <w:marLeft w:val="0"/>
          <w:marRight w:val="0"/>
          <w:marTop w:val="0"/>
          <w:marBottom w:val="0"/>
          <w:divBdr>
            <w:top w:val="none" w:sz="0" w:space="0" w:color="auto"/>
            <w:left w:val="none" w:sz="0" w:space="0" w:color="auto"/>
            <w:bottom w:val="none" w:sz="0" w:space="0" w:color="auto"/>
            <w:right w:val="none" w:sz="0" w:space="0" w:color="auto"/>
          </w:divBdr>
        </w:div>
      </w:divsChild>
    </w:div>
    <w:div w:id="1070158175">
      <w:bodyDiv w:val="1"/>
      <w:marLeft w:val="0"/>
      <w:marRight w:val="0"/>
      <w:marTop w:val="0"/>
      <w:marBottom w:val="0"/>
      <w:divBdr>
        <w:top w:val="none" w:sz="0" w:space="0" w:color="auto"/>
        <w:left w:val="none" w:sz="0" w:space="0" w:color="auto"/>
        <w:bottom w:val="none" w:sz="0" w:space="0" w:color="auto"/>
        <w:right w:val="none" w:sz="0" w:space="0" w:color="auto"/>
      </w:divBdr>
    </w:div>
    <w:div w:id="1144851063">
      <w:bodyDiv w:val="1"/>
      <w:marLeft w:val="0"/>
      <w:marRight w:val="0"/>
      <w:marTop w:val="0"/>
      <w:marBottom w:val="0"/>
      <w:divBdr>
        <w:top w:val="none" w:sz="0" w:space="0" w:color="auto"/>
        <w:left w:val="none" w:sz="0" w:space="0" w:color="auto"/>
        <w:bottom w:val="none" w:sz="0" w:space="0" w:color="auto"/>
        <w:right w:val="none" w:sz="0" w:space="0" w:color="auto"/>
      </w:divBdr>
    </w:div>
    <w:div w:id="1781610373">
      <w:bodyDiv w:val="1"/>
      <w:marLeft w:val="0"/>
      <w:marRight w:val="0"/>
      <w:marTop w:val="0"/>
      <w:marBottom w:val="0"/>
      <w:divBdr>
        <w:top w:val="none" w:sz="0" w:space="0" w:color="auto"/>
        <w:left w:val="none" w:sz="0" w:space="0" w:color="auto"/>
        <w:bottom w:val="none" w:sz="0" w:space="0" w:color="auto"/>
        <w:right w:val="none" w:sz="0" w:space="0" w:color="auto"/>
      </w:divBdr>
    </w:div>
    <w:div w:id="1852640055">
      <w:bodyDiv w:val="1"/>
      <w:marLeft w:val="0"/>
      <w:marRight w:val="0"/>
      <w:marTop w:val="0"/>
      <w:marBottom w:val="0"/>
      <w:divBdr>
        <w:top w:val="none" w:sz="0" w:space="0" w:color="auto"/>
        <w:left w:val="none" w:sz="0" w:space="0" w:color="auto"/>
        <w:bottom w:val="none" w:sz="0" w:space="0" w:color="auto"/>
        <w:right w:val="none" w:sz="0" w:space="0" w:color="auto"/>
      </w:divBdr>
    </w:div>
    <w:div w:id="1884518634">
      <w:bodyDiv w:val="1"/>
      <w:marLeft w:val="0"/>
      <w:marRight w:val="0"/>
      <w:marTop w:val="0"/>
      <w:marBottom w:val="0"/>
      <w:divBdr>
        <w:top w:val="none" w:sz="0" w:space="0" w:color="auto"/>
        <w:left w:val="none" w:sz="0" w:space="0" w:color="auto"/>
        <w:bottom w:val="none" w:sz="0" w:space="0" w:color="auto"/>
        <w:right w:val="none" w:sz="0" w:space="0" w:color="auto"/>
      </w:divBdr>
    </w:div>
    <w:div w:id="205943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11</Pages>
  <Words>2280</Words>
  <Characters>12998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10</cp:revision>
  <dcterms:created xsi:type="dcterms:W3CDTF">2021-07-18T10:45:00Z</dcterms:created>
  <dcterms:modified xsi:type="dcterms:W3CDTF">2021-07-18T23:12:00Z</dcterms:modified>
</cp:coreProperties>
</file>