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A20C0D" w14:textId="0A98661F" w:rsidR="009E7A10" w:rsidRPr="00381039" w:rsidRDefault="009E7A10" w:rsidP="00381039">
      <w:pPr>
        <w:spacing w:line="480" w:lineRule="auto"/>
        <w:rPr>
          <w:rFonts w:ascii="Times New Roman" w:hAnsi="Times New Roman" w:cs="Times New Roman"/>
          <w:sz w:val="24"/>
          <w:szCs w:val="24"/>
        </w:rPr>
      </w:pPr>
      <w:r w:rsidRPr="00381039">
        <w:rPr>
          <w:rFonts w:ascii="Times New Roman" w:hAnsi="Times New Roman" w:cs="Times New Roman"/>
          <w:sz w:val="24"/>
          <w:szCs w:val="24"/>
        </w:rPr>
        <w:t xml:space="preserve">Edwin, </w:t>
      </w:r>
    </w:p>
    <w:p w14:paraId="50F34AA5" w14:textId="77777777" w:rsidR="0001753B" w:rsidRPr="00381039" w:rsidRDefault="0001753B" w:rsidP="00381039">
      <w:pPr>
        <w:pStyle w:val="NormalWeb"/>
        <w:spacing w:before="0" w:beforeAutospacing="0" w:after="0" w:afterAutospacing="0" w:line="480" w:lineRule="auto"/>
        <w:ind w:firstLine="720"/>
        <w:rPr>
          <w:color w:val="0E101A"/>
        </w:rPr>
      </w:pPr>
      <w:r w:rsidRPr="00381039">
        <w:rPr>
          <w:color w:val="0E101A"/>
        </w:rPr>
        <w:t>As I read your post, I could not escape the glaring tensions between scholasticism (orthodoxy) and piety (orthopraxy) that are still present to this day. I was pleased with how you expounded on scholasticism, defining it as a relationship between faith and reason. As evidenced in historical accounts, this relationship is brittle and often at arm’s length.</w:t>
      </w:r>
    </w:p>
    <w:p w14:paraId="20837509" w14:textId="61E09D98" w:rsidR="0001753B" w:rsidRPr="00381039" w:rsidRDefault="0001753B" w:rsidP="00381039">
      <w:pPr>
        <w:pStyle w:val="NormalWeb"/>
        <w:spacing w:before="0" w:beforeAutospacing="0" w:after="0" w:afterAutospacing="0" w:line="480" w:lineRule="auto"/>
        <w:ind w:firstLine="720"/>
        <w:rPr>
          <w:color w:val="0E101A"/>
        </w:rPr>
      </w:pPr>
      <w:r w:rsidRPr="00381039">
        <w:rPr>
          <w:color w:val="0E101A"/>
        </w:rPr>
        <w:t>Your model supposes that if the vigor of scholasticism combined with the strengths of piety, “individual Christians would passionately live out the call of God through new and fresh takes on a life of faithfulness and obedience to God.” Much more could be said here. First, we have to learn from the links of our forefathers. Mark Noll notes, “Chief among these links was a common thirst for a more directly personal religion and a common resistance to efforts by both Catholic and Protestant state-church regimes to exert tighter control over their local populations.”</w:t>
      </w:r>
      <w:r w:rsidRPr="00381039">
        <w:rPr>
          <w:rStyle w:val="FootnoteReference"/>
        </w:rPr>
        <w:t xml:space="preserve"> </w:t>
      </w:r>
      <w:r w:rsidRPr="00381039">
        <w:rPr>
          <w:rStyle w:val="FootnoteReference"/>
        </w:rPr>
        <w:footnoteReference w:id="1"/>
      </w:r>
      <w:r w:rsidRPr="00381039">
        <w:rPr>
          <w:color w:val="0E101A"/>
        </w:rPr>
        <w:t> Today we could use the same links and remodel a link that makes great emphases on a personal relationship with God and at the same time reject efforts by clergy or whoever will come to control how we think. I know this is a difficult task as faith sometimes requires that we believe beyond reason but our Christianity offers enough reasons to believe. I could not think of a better scripture that summarizes this than 1 Peter 3:15: But in your hearts revere Christ as Lord. Always be prepared to give an answer to everyone who asks you to give the reason for the hope that you have. But do this with gentleness and respect.</w:t>
      </w:r>
      <w:r w:rsidRPr="00381039">
        <w:rPr>
          <w:rStyle w:val="FootnoteReference"/>
        </w:rPr>
        <w:t xml:space="preserve"> </w:t>
      </w:r>
      <w:r w:rsidRPr="00381039">
        <w:rPr>
          <w:rStyle w:val="FootnoteReference"/>
        </w:rPr>
        <w:footnoteReference w:id="2"/>
      </w:r>
    </w:p>
    <w:p w14:paraId="0CA6B67C" w14:textId="77777777" w:rsidR="0001753B" w:rsidRPr="00381039" w:rsidRDefault="0001753B" w:rsidP="00381039">
      <w:pPr>
        <w:spacing w:line="480" w:lineRule="auto"/>
        <w:rPr>
          <w:rFonts w:ascii="Times New Roman" w:hAnsi="Times New Roman" w:cs="Times New Roman"/>
          <w:sz w:val="24"/>
          <w:szCs w:val="24"/>
        </w:rPr>
      </w:pPr>
    </w:p>
    <w:sectPr w:rsidR="0001753B" w:rsidRPr="003810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7EE62" w14:textId="77777777" w:rsidR="00DE1BF2" w:rsidRDefault="00DE1BF2" w:rsidP="0078160C">
      <w:pPr>
        <w:spacing w:after="0" w:line="240" w:lineRule="auto"/>
      </w:pPr>
      <w:r>
        <w:separator/>
      </w:r>
    </w:p>
  </w:endnote>
  <w:endnote w:type="continuationSeparator" w:id="0">
    <w:p w14:paraId="3C730377" w14:textId="77777777" w:rsidR="00DE1BF2" w:rsidRDefault="00DE1BF2" w:rsidP="00781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0BF51" w14:textId="77777777" w:rsidR="00DE1BF2" w:rsidRDefault="00DE1BF2" w:rsidP="0078160C">
      <w:pPr>
        <w:spacing w:after="0" w:line="240" w:lineRule="auto"/>
      </w:pPr>
      <w:r>
        <w:separator/>
      </w:r>
    </w:p>
  </w:footnote>
  <w:footnote w:type="continuationSeparator" w:id="0">
    <w:p w14:paraId="0ABC2D0A" w14:textId="77777777" w:rsidR="00DE1BF2" w:rsidRDefault="00DE1BF2" w:rsidP="0078160C">
      <w:pPr>
        <w:spacing w:after="0" w:line="240" w:lineRule="auto"/>
      </w:pPr>
      <w:r>
        <w:continuationSeparator/>
      </w:r>
    </w:p>
  </w:footnote>
  <w:footnote w:id="1">
    <w:p w14:paraId="7071CE49" w14:textId="77777777" w:rsidR="0001753B" w:rsidRDefault="0001753B" w:rsidP="00381039">
      <w:pPr>
        <w:pStyle w:val="FootnoteText"/>
        <w:spacing w:before="240"/>
        <w:ind w:firstLine="720"/>
      </w:pPr>
      <w:r>
        <w:rPr>
          <w:rStyle w:val="FootnoteReference"/>
        </w:rPr>
        <w:footnoteRef/>
      </w:r>
      <w:r>
        <w:t xml:space="preserve"> </w:t>
      </w:r>
      <w:r w:rsidRPr="003061ED">
        <w:rPr>
          <w:rFonts w:ascii="Times New Roman" w:hAnsi="Times New Roman" w:cs="Times New Roman"/>
        </w:rPr>
        <w:t xml:space="preserve">Mark A. Noll, </w:t>
      </w:r>
      <w:r w:rsidRPr="003061ED">
        <w:rPr>
          <w:rFonts w:ascii="Times New Roman" w:hAnsi="Times New Roman" w:cs="Times New Roman"/>
          <w:i/>
          <w:iCs/>
        </w:rPr>
        <w:t>Turning Points: Decisive Moments in the History of Christianity</w:t>
      </w:r>
      <w:r w:rsidRPr="003061ED">
        <w:rPr>
          <w:rFonts w:ascii="Times New Roman" w:hAnsi="Times New Roman" w:cs="Times New Roman"/>
        </w:rPr>
        <w:t>, 3rd Edition (Grand Rapids, MI: Baker Academic, 2018),</w:t>
      </w:r>
    </w:p>
  </w:footnote>
  <w:footnote w:id="2">
    <w:p w14:paraId="27852A6A" w14:textId="77777777" w:rsidR="0001753B" w:rsidRDefault="0001753B" w:rsidP="00381039">
      <w:pPr>
        <w:pStyle w:val="FootnoteText"/>
        <w:spacing w:before="240"/>
        <w:ind w:firstLine="720"/>
      </w:pPr>
      <w:r>
        <w:rPr>
          <w:rStyle w:val="FootnoteReference"/>
        </w:rPr>
        <w:footnoteRef/>
      </w:r>
      <w:r>
        <w:t xml:space="preserve"> </w:t>
      </w:r>
      <w:r w:rsidRPr="003061ED">
        <w:rPr>
          <w:rFonts w:ascii="Times New Roman" w:hAnsi="Times New Roman" w:cs="Times New Roman"/>
        </w:rPr>
        <w:t xml:space="preserve">Unless otherwise noted, all biblical passages referenced are in the </w:t>
      </w:r>
      <w:r w:rsidRPr="003061ED">
        <w:rPr>
          <w:rFonts w:ascii="Times New Roman" w:hAnsi="Times New Roman" w:cs="Times New Roman"/>
          <w:i/>
          <w:iCs/>
        </w:rPr>
        <w:t>New International Version</w:t>
      </w:r>
      <w:r w:rsidRPr="003061ED">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10"/>
    <w:rsid w:val="0001753B"/>
    <w:rsid w:val="00186403"/>
    <w:rsid w:val="00381039"/>
    <w:rsid w:val="00635007"/>
    <w:rsid w:val="00697D45"/>
    <w:rsid w:val="0078160C"/>
    <w:rsid w:val="009E7A10"/>
    <w:rsid w:val="00A54771"/>
    <w:rsid w:val="00CF0E28"/>
    <w:rsid w:val="00D74DC5"/>
    <w:rsid w:val="00DE1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7717"/>
  <w15:chartTrackingRefBased/>
  <w15:docId w15:val="{FF79E2C9-9B63-4939-81FB-9C098321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16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160C"/>
    <w:rPr>
      <w:sz w:val="20"/>
      <w:szCs w:val="20"/>
    </w:rPr>
  </w:style>
  <w:style w:type="character" w:styleId="FootnoteReference">
    <w:name w:val="footnote reference"/>
    <w:basedOn w:val="DefaultParagraphFont"/>
    <w:uiPriority w:val="99"/>
    <w:semiHidden/>
    <w:unhideWhenUsed/>
    <w:rsid w:val="0078160C"/>
    <w:rPr>
      <w:vertAlign w:val="superscript"/>
    </w:rPr>
  </w:style>
  <w:style w:type="paragraph" w:styleId="NormalWeb">
    <w:name w:val="Normal (Web)"/>
    <w:basedOn w:val="Normal"/>
    <w:uiPriority w:val="99"/>
    <w:semiHidden/>
    <w:unhideWhenUsed/>
    <w:rsid w:val="000175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75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658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9B75304-DCEF-4BC3-9FF1-BE49637E6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233</Words>
  <Characters>1332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2021-02-21T05:07:00Z</dcterms:created>
  <dcterms:modified xsi:type="dcterms:W3CDTF">2021-02-21T06:34:00Z</dcterms:modified>
</cp:coreProperties>
</file>