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01602E" w14:textId="77777777" w:rsidR="003E51C5" w:rsidRDefault="003E51C5" w:rsidP="00B8185C">
      <w:pPr>
        <w:pStyle w:val="NormalWeb"/>
        <w:spacing w:before="0" w:beforeAutospacing="0" w:after="0" w:afterAutospacing="0" w:line="480" w:lineRule="auto"/>
        <w:rPr>
          <w:color w:val="0E101A"/>
        </w:rPr>
      </w:pPr>
      <w:r>
        <w:rPr>
          <w:color w:val="0E101A"/>
        </w:rPr>
        <w:t>Edwin Melendez,</w:t>
      </w:r>
    </w:p>
    <w:p w14:paraId="57D385D3" w14:textId="3E7FF716" w:rsidR="003E51C5" w:rsidRDefault="003E51C5" w:rsidP="00B8185C">
      <w:pPr>
        <w:pStyle w:val="NormalWeb"/>
        <w:spacing w:before="0" w:beforeAutospacing="0" w:after="0" w:afterAutospacing="0" w:line="480" w:lineRule="auto"/>
        <w:ind w:firstLine="720"/>
        <w:rPr>
          <w:color w:val="0E101A"/>
        </w:rPr>
      </w:pPr>
      <w:r>
        <w:rPr>
          <w:color w:val="0E101A"/>
        </w:rPr>
        <w:t xml:space="preserve">I found your post quite thought-provoking. I am still pondering whether secularization has any benefit. I have to admit I did not see any benefits of secularization on Christianity until I read your post (I am trying to make sense of it now). I have always seen secularization as an enemy of Christian thought. I feel like it has made Christianity irrelevant in </w:t>
      </w:r>
      <w:r w:rsidR="00B8185C">
        <w:rPr>
          <w:color w:val="0E101A"/>
        </w:rPr>
        <w:t>many parts of the world</w:t>
      </w:r>
      <w:r>
        <w:rPr>
          <w:color w:val="0E101A"/>
        </w:rPr>
        <w:t>. Allover and as you mentioned, we can see the effects of secularization in Black Lives Matter and White supremacist movements. The impact is so adverse that many Christians have lost their saltiness. For instance, and as Jim Putman posits, “When it comes to morality and lifestyle issues, there is little difference between the behavior (and one can assume the condition of the heart) of Christians and non-Christians.</w:t>
      </w:r>
      <w:r>
        <w:rPr>
          <w:rStyle w:val="FootnoteReference"/>
          <w:color w:val="0E101A"/>
        </w:rPr>
        <w:footnoteReference w:id="1"/>
      </w:r>
      <w:r>
        <w:rPr>
          <w:color w:val="0E101A"/>
        </w:rPr>
        <w:t xml:space="preserve"> </w:t>
      </w:r>
      <w:r>
        <w:rPr>
          <w:color w:val="0E101A"/>
        </w:rPr>
        <w:t>Putman goes on further to say, “When one compares the divorce rate, sexual immorality, corruption of Christians and non-Christians, you will not find any meaningful difference.”</w:t>
      </w:r>
      <w:r>
        <w:rPr>
          <w:rStyle w:val="FootnoteReference"/>
          <w:color w:val="0E101A"/>
        </w:rPr>
        <w:footnoteReference w:id="2"/>
      </w:r>
      <w:r>
        <w:rPr>
          <w:color w:val="0E101A"/>
        </w:rPr>
        <w:t xml:space="preserve"> </w:t>
      </w:r>
      <w:r>
        <w:rPr>
          <w:color w:val="0E101A"/>
        </w:rPr>
        <w:t>Furthermore, he claims that American Christians are more than twice as likely to have racist attitudes as non-Christians.</w:t>
      </w:r>
      <w:r>
        <w:rPr>
          <w:rStyle w:val="FootnoteReference"/>
          <w:color w:val="0E101A"/>
        </w:rPr>
        <w:footnoteReference w:id="3"/>
      </w:r>
      <w:r>
        <w:rPr>
          <w:color w:val="0E101A"/>
        </w:rPr>
        <w:t> Without a doubt, this shows the adverse effects of secularization.</w:t>
      </w:r>
    </w:p>
    <w:p w14:paraId="68C1C392" w14:textId="0E71F0E7" w:rsidR="003E51C5" w:rsidRDefault="003E51C5" w:rsidP="00B8185C">
      <w:pPr>
        <w:pStyle w:val="NormalWeb"/>
        <w:spacing w:before="0" w:beforeAutospacing="0" w:after="0" w:afterAutospacing="0" w:line="480" w:lineRule="auto"/>
        <w:ind w:firstLine="720"/>
        <w:rPr>
          <w:color w:val="0E101A"/>
        </w:rPr>
      </w:pPr>
      <w:r>
        <w:rPr>
          <w:color w:val="0E101A"/>
        </w:rPr>
        <w:t xml:space="preserve">Nonetheless, it appears that these effects can cause people to desire to seek God. Like you alluded to, I guess that is how revival comes in. Also, I wanted to add that secularization seems to be the antidote for Christendom. Mark Noll describes secularization as “the end of Christendom or the end of that lengthy period of European history when the interests of church and society were thought to be the same and where it was almost universally assumed that </w:t>
      </w:r>
      <w:r>
        <w:rPr>
          <w:color w:val="0E101A"/>
        </w:rPr>
        <w:lastRenderedPageBreak/>
        <w:t>Christian spiritual realities were more fundamental than realities of the temporal world.”</w:t>
      </w:r>
      <w:r>
        <w:rPr>
          <w:rStyle w:val="FootnoteReference"/>
          <w:color w:val="0E101A"/>
        </w:rPr>
        <w:footnoteReference w:id="4"/>
      </w:r>
      <w:r>
        <w:rPr>
          <w:color w:val="0E101A"/>
        </w:rPr>
        <w:t xml:space="preserve"> </w:t>
      </w:r>
      <w:r>
        <w:rPr>
          <w:color w:val="0E101A"/>
        </w:rPr>
        <w:t>He concludes that secularization benefited Christianity by getting rid of Christendom, albeit slowly.</w:t>
      </w:r>
      <w:r>
        <w:rPr>
          <w:rStyle w:val="FootnoteReference"/>
          <w:color w:val="0E101A"/>
        </w:rPr>
        <w:footnoteReference w:id="5"/>
      </w:r>
    </w:p>
    <w:p w14:paraId="6C78A2A9" w14:textId="77777777" w:rsidR="003E51C5" w:rsidRDefault="003E51C5" w:rsidP="00B8185C">
      <w:pPr>
        <w:pStyle w:val="NormalWeb"/>
        <w:spacing w:before="0" w:beforeAutospacing="0" w:after="0" w:afterAutospacing="0" w:line="480" w:lineRule="auto"/>
        <w:rPr>
          <w:color w:val="0E101A"/>
        </w:rPr>
      </w:pPr>
    </w:p>
    <w:p w14:paraId="78A40A1D" w14:textId="4D22D4E8" w:rsidR="00D80A95" w:rsidRDefault="00D80A95" w:rsidP="00B8185C">
      <w:pPr>
        <w:spacing w:after="0" w:line="480" w:lineRule="auto"/>
        <w:ind w:firstLine="720"/>
      </w:pPr>
    </w:p>
    <w:sectPr w:rsidR="00D80A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1F57D5" w14:textId="77777777" w:rsidR="0061037A" w:rsidRDefault="0061037A" w:rsidP="00843F7C">
      <w:pPr>
        <w:spacing w:after="0" w:line="240" w:lineRule="auto"/>
      </w:pPr>
      <w:r>
        <w:separator/>
      </w:r>
    </w:p>
  </w:endnote>
  <w:endnote w:type="continuationSeparator" w:id="0">
    <w:p w14:paraId="1A0BB16F" w14:textId="77777777" w:rsidR="0061037A" w:rsidRDefault="0061037A" w:rsidP="00843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185312" w14:textId="77777777" w:rsidR="0061037A" w:rsidRDefault="0061037A" w:rsidP="00843F7C">
      <w:pPr>
        <w:spacing w:after="0" w:line="240" w:lineRule="auto"/>
      </w:pPr>
      <w:r>
        <w:separator/>
      </w:r>
    </w:p>
  </w:footnote>
  <w:footnote w:type="continuationSeparator" w:id="0">
    <w:p w14:paraId="51C7BD03" w14:textId="77777777" w:rsidR="0061037A" w:rsidRDefault="0061037A" w:rsidP="00843F7C">
      <w:pPr>
        <w:spacing w:after="0" w:line="240" w:lineRule="auto"/>
      </w:pPr>
      <w:r>
        <w:continuationSeparator/>
      </w:r>
    </w:p>
  </w:footnote>
  <w:footnote w:id="1">
    <w:p w14:paraId="337D3FD2" w14:textId="09DF0D05" w:rsidR="003E51C5" w:rsidRPr="003E51C5" w:rsidRDefault="003E51C5" w:rsidP="003E51C5">
      <w:pPr>
        <w:pStyle w:val="FootnoteText"/>
        <w:spacing w:before="240"/>
        <w:ind w:firstLine="720"/>
        <w:rPr>
          <w:rFonts w:ascii="Times New Roman" w:hAnsi="Times New Roman" w:cs="Times New Roman"/>
        </w:rPr>
      </w:pPr>
      <w:r w:rsidRPr="003E51C5">
        <w:rPr>
          <w:rStyle w:val="FootnoteReference"/>
          <w:rFonts w:ascii="Times New Roman" w:hAnsi="Times New Roman" w:cs="Times New Roman"/>
        </w:rPr>
        <w:footnoteRef/>
      </w:r>
      <w:r w:rsidRPr="003E51C5">
        <w:rPr>
          <w:rFonts w:ascii="Times New Roman" w:hAnsi="Times New Roman" w:cs="Times New Roman"/>
        </w:rPr>
        <w:t xml:space="preserve"> </w:t>
      </w:r>
      <w:r w:rsidRPr="003E51C5">
        <w:rPr>
          <w:rFonts w:ascii="Times New Roman" w:hAnsi="Times New Roman" w:cs="Times New Roman"/>
        </w:rPr>
        <w:t xml:space="preserve">Jim Putman, Bob Harrington &amp; Robert E. Coleman, </w:t>
      </w:r>
      <w:r w:rsidRPr="003E51C5">
        <w:rPr>
          <w:rFonts w:ascii="Times New Roman" w:hAnsi="Times New Roman" w:cs="Times New Roman"/>
          <w:i/>
          <w:iCs/>
        </w:rPr>
        <w:t xml:space="preserve">Discipleshift: Five Steps That Help Your Church to Make Disciples Who Make Disciples </w:t>
      </w:r>
      <w:r w:rsidRPr="003E51C5">
        <w:rPr>
          <w:rFonts w:ascii="Times New Roman" w:hAnsi="Times New Roman" w:cs="Times New Roman"/>
        </w:rPr>
        <w:t>(Grand Rapids, MI: Zondervan, 2013), 20.</w:t>
      </w:r>
    </w:p>
  </w:footnote>
  <w:footnote w:id="2">
    <w:p w14:paraId="144793AB" w14:textId="56418D57" w:rsidR="003E51C5" w:rsidRPr="003E51C5" w:rsidRDefault="003E51C5" w:rsidP="003E51C5">
      <w:pPr>
        <w:pStyle w:val="FootnoteText"/>
        <w:spacing w:before="240"/>
        <w:ind w:firstLine="720"/>
        <w:rPr>
          <w:rFonts w:ascii="Times New Roman" w:hAnsi="Times New Roman" w:cs="Times New Roman"/>
        </w:rPr>
      </w:pPr>
      <w:r w:rsidRPr="003E51C5">
        <w:rPr>
          <w:rStyle w:val="FootnoteReference"/>
          <w:rFonts w:ascii="Times New Roman" w:hAnsi="Times New Roman" w:cs="Times New Roman"/>
        </w:rPr>
        <w:footnoteRef/>
      </w:r>
      <w:r w:rsidRPr="003E51C5">
        <w:rPr>
          <w:rFonts w:ascii="Times New Roman" w:hAnsi="Times New Roman" w:cs="Times New Roman"/>
        </w:rPr>
        <w:t xml:space="preserve"> Ibid., 20.</w:t>
      </w:r>
    </w:p>
  </w:footnote>
  <w:footnote w:id="3">
    <w:p w14:paraId="0A2BE8BD" w14:textId="1E23531B" w:rsidR="003E51C5" w:rsidRPr="003E51C5" w:rsidRDefault="003E51C5" w:rsidP="003E51C5">
      <w:pPr>
        <w:pStyle w:val="FootnoteText"/>
        <w:spacing w:before="240"/>
        <w:ind w:firstLine="720"/>
        <w:rPr>
          <w:rFonts w:ascii="Times New Roman" w:hAnsi="Times New Roman" w:cs="Times New Roman"/>
        </w:rPr>
      </w:pPr>
      <w:r w:rsidRPr="003E51C5">
        <w:rPr>
          <w:rStyle w:val="FootnoteReference"/>
          <w:rFonts w:ascii="Times New Roman" w:hAnsi="Times New Roman" w:cs="Times New Roman"/>
        </w:rPr>
        <w:footnoteRef/>
      </w:r>
      <w:r w:rsidRPr="003E51C5">
        <w:rPr>
          <w:rFonts w:ascii="Times New Roman" w:hAnsi="Times New Roman" w:cs="Times New Roman"/>
        </w:rPr>
        <w:t xml:space="preserve"> Ibid., 20.</w:t>
      </w:r>
    </w:p>
  </w:footnote>
  <w:footnote w:id="4">
    <w:p w14:paraId="51814F21" w14:textId="29BE7D10" w:rsidR="003E51C5" w:rsidRPr="003E51C5" w:rsidRDefault="003E51C5" w:rsidP="003E51C5">
      <w:pPr>
        <w:pStyle w:val="FootnoteText"/>
        <w:spacing w:before="240"/>
        <w:ind w:firstLine="720"/>
        <w:rPr>
          <w:rFonts w:ascii="Times New Roman" w:hAnsi="Times New Roman" w:cs="Times New Roman"/>
        </w:rPr>
      </w:pPr>
      <w:r w:rsidRPr="003E51C5">
        <w:rPr>
          <w:rStyle w:val="FootnoteReference"/>
          <w:rFonts w:ascii="Times New Roman" w:hAnsi="Times New Roman" w:cs="Times New Roman"/>
        </w:rPr>
        <w:footnoteRef/>
      </w:r>
      <w:r w:rsidRPr="003E51C5">
        <w:rPr>
          <w:rFonts w:ascii="Times New Roman" w:hAnsi="Times New Roman" w:cs="Times New Roman"/>
        </w:rPr>
        <w:t xml:space="preserve"> </w:t>
      </w:r>
      <w:r w:rsidRPr="003E51C5">
        <w:rPr>
          <w:rFonts w:ascii="Times New Roman" w:hAnsi="Times New Roman" w:cs="Times New Roman"/>
        </w:rPr>
        <w:t xml:space="preserve">Mark A. Noll, </w:t>
      </w:r>
      <w:r w:rsidRPr="003E51C5">
        <w:rPr>
          <w:rFonts w:ascii="Times New Roman" w:hAnsi="Times New Roman" w:cs="Times New Roman"/>
          <w:i/>
          <w:iCs/>
        </w:rPr>
        <w:t>Turning Points: Decisive Moments in the History of Christianity</w:t>
      </w:r>
      <w:r w:rsidRPr="003E51C5">
        <w:rPr>
          <w:rFonts w:ascii="Times New Roman" w:hAnsi="Times New Roman" w:cs="Times New Roman"/>
        </w:rPr>
        <w:t>, 3rd Edition (Grand Rapids, MI: Baker Academic, 2018), 246.</w:t>
      </w:r>
    </w:p>
  </w:footnote>
  <w:footnote w:id="5">
    <w:p w14:paraId="5C9E3A76" w14:textId="3593700A" w:rsidR="003E51C5" w:rsidRDefault="003E51C5" w:rsidP="003E51C5">
      <w:pPr>
        <w:pStyle w:val="FootnoteText"/>
        <w:spacing w:before="240"/>
        <w:ind w:firstLine="720"/>
      </w:pPr>
      <w:r w:rsidRPr="003E51C5">
        <w:rPr>
          <w:rStyle w:val="FootnoteReference"/>
          <w:rFonts w:ascii="Times New Roman" w:hAnsi="Times New Roman" w:cs="Times New Roman"/>
        </w:rPr>
        <w:footnoteRef/>
      </w:r>
      <w:r w:rsidRPr="003E51C5">
        <w:rPr>
          <w:rFonts w:ascii="Times New Roman" w:hAnsi="Times New Roman" w:cs="Times New Roman"/>
        </w:rPr>
        <w:t xml:space="preserve"> Ibid., 246.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7C"/>
    <w:rsid w:val="00063A35"/>
    <w:rsid w:val="00120A57"/>
    <w:rsid w:val="002B0A11"/>
    <w:rsid w:val="003E51C5"/>
    <w:rsid w:val="0061037A"/>
    <w:rsid w:val="007C1914"/>
    <w:rsid w:val="00843F7C"/>
    <w:rsid w:val="00B8185C"/>
    <w:rsid w:val="00D80A95"/>
    <w:rsid w:val="00FC3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4151E"/>
  <w15:chartTrackingRefBased/>
  <w15:docId w15:val="{07B94062-7C63-4B6A-8224-DC8C0F11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43F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3F7C"/>
    <w:rPr>
      <w:sz w:val="20"/>
      <w:szCs w:val="20"/>
    </w:rPr>
  </w:style>
  <w:style w:type="character" w:styleId="FootnoteReference">
    <w:name w:val="footnote reference"/>
    <w:basedOn w:val="DefaultParagraphFont"/>
    <w:uiPriority w:val="99"/>
    <w:semiHidden/>
    <w:unhideWhenUsed/>
    <w:rsid w:val="00843F7C"/>
    <w:rPr>
      <w:vertAlign w:val="superscript"/>
    </w:rPr>
  </w:style>
  <w:style w:type="paragraph" w:styleId="NormalWeb">
    <w:name w:val="Normal (Web)"/>
    <w:basedOn w:val="Normal"/>
    <w:uiPriority w:val="99"/>
    <w:semiHidden/>
    <w:unhideWhenUsed/>
    <w:rsid w:val="003E51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51C5"/>
    <w:rPr>
      <w:color w:val="0000FF"/>
      <w:u w:val="single"/>
    </w:rPr>
  </w:style>
  <w:style w:type="character" w:styleId="Emphasis">
    <w:name w:val="Emphasis"/>
    <w:basedOn w:val="DefaultParagraphFont"/>
    <w:uiPriority w:val="20"/>
    <w:qFormat/>
    <w:rsid w:val="003E51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121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4C9C460-B452-4AF3-8E81-707807778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2021-02-26T17:27:00Z</dcterms:created>
  <dcterms:modified xsi:type="dcterms:W3CDTF">2021-02-26T19:55:00Z</dcterms:modified>
</cp:coreProperties>
</file>