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EA37BD" w14:textId="3FEDE2E7" w:rsidR="006A7232" w:rsidRDefault="006A7232" w:rsidP="006A7232">
      <w:pPr>
        <w:pStyle w:val="NormalWeb"/>
        <w:spacing w:before="0" w:beforeAutospacing="0" w:after="0" w:afterAutospacing="0" w:line="480" w:lineRule="auto"/>
        <w:ind w:firstLine="720"/>
        <w:rPr>
          <w:color w:val="0E101A"/>
        </w:rPr>
      </w:pPr>
      <w:r>
        <w:rPr>
          <w:color w:val="0E101A"/>
        </w:rPr>
        <w:t xml:space="preserve">John Davis, I agree with your sentiments. I also believe Christian missions need to focus their efforts on the church itself. </w:t>
      </w:r>
      <w:r>
        <w:rPr>
          <w:color w:val="0E101A"/>
        </w:rPr>
        <w:t xml:space="preserve">First, </w:t>
      </w:r>
      <w:r>
        <w:rPr>
          <w:color w:val="0E101A"/>
        </w:rPr>
        <w:t>I am so disturbed by the way we view mission</w:t>
      </w:r>
      <w:r>
        <w:rPr>
          <w:color w:val="0E101A"/>
        </w:rPr>
        <w:t>aries</w:t>
      </w:r>
      <w:r>
        <w:rPr>
          <w:color w:val="0E101A"/>
        </w:rPr>
        <w:t>. For many years, many Christians have viewed missionaries as people who fundraise and board a plane, then go to the ends of the world to preach the gospel. How about we start viewing missionaries as those people who are ready to go to their next-door neighbor and to the person on the adjacent desk at work to share the gospel? I believe if churches begin to see missions like that, we shall be able to reach out to so many people around us and replenish the church with membership. One of the things that I have come to learn is that in a world so interconnected as of today, one is likely to find their next-door neighbor comes from a closed country. In-migrations and out-migrations on a grander scale than ever before in human history have made this possible.</w:t>
      </w:r>
      <w:r>
        <w:rPr>
          <w:rStyle w:val="FootnoteReference"/>
          <w:color w:val="0E101A"/>
        </w:rPr>
        <w:footnoteReference w:id="1"/>
      </w:r>
      <w:r>
        <w:rPr>
          <w:color w:val="0E101A"/>
        </w:rPr>
        <w:t xml:space="preserve"> </w:t>
      </w:r>
      <w:r>
        <w:rPr>
          <w:color w:val="0E101A"/>
        </w:rPr>
        <w:t xml:space="preserve">If </w:t>
      </w:r>
      <w:r>
        <w:rPr>
          <w:color w:val="0E101A"/>
        </w:rPr>
        <w:t>Christians</w:t>
      </w:r>
      <w:r>
        <w:rPr>
          <w:color w:val="0E101A"/>
        </w:rPr>
        <w:t xml:space="preserve"> care to know further, </w:t>
      </w:r>
      <w:r>
        <w:rPr>
          <w:color w:val="0E101A"/>
        </w:rPr>
        <w:t>they</w:t>
      </w:r>
      <w:r>
        <w:rPr>
          <w:color w:val="0E101A"/>
        </w:rPr>
        <w:t xml:space="preserve"> would also likely find out that </w:t>
      </w:r>
      <w:r>
        <w:rPr>
          <w:color w:val="0E101A"/>
        </w:rPr>
        <w:t>their</w:t>
      </w:r>
      <w:r>
        <w:rPr>
          <w:color w:val="0E101A"/>
        </w:rPr>
        <w:t xml:space="preserve"> next-door neighbor has never heard about Jesus. Christians who live in the city especially have so many opportunities like this. Recent statistics point to an increasing concentration of the world population in cities.</w:t>
      </w:r>
      <w:r>
        <w:rPr>
          <w:rStyle w:val="FootnoteReference"/>
          <w:color w:val="0E101A"/>
        </w:rPr>
        <w:footnoteReference w:id="2"/>
      </w:r>
      <w:r>
        <w:rPr>
          <w:color w:val="0E101A"/>
        </w:rPr>
        <w:t> Thus, I predict though I am not a prophet, neither a prophet's son that the future of missions is to the next-door.</w:t>
      </w:r>
    </w:p>
    <w:p w14:paraId="0A693A62" w14:textId="77777777" w:rsidR="006A7232" w:rsidRDefault="006A7232" w:rsidP="006A7232">
      <w:pPr>
        <w:pStyle w:val="NormalWeb"/>
        <w:spacing w:before="0" w:beforeAutospacing="0" w:after="0" w:afterAutospacing="0" w:line="480" w:lineRule="auto"/>
        <w:rPr>
          <w:color w:val="0E101A"/>
        </w:rPr>
      </w:pPr>
    </w:p>
    <w:p w14:paraId="2A5E4CD3" w14:textId="21455CC5" w:rsidR="006A7232" w:rsidRDefault="006A7232" w:rsidP="006A7232">
      <w:pPr>
        <w:pStyle w:val="NormalWeb"/>
        <w:spacing w:before="0" w:beforeAutospacing="0" w:after="0" w:afterAutospacing="0" w:line="480" w:lineRule="auto"/>
        <w:rPr>
          <w:color w:val="0E101A"/>
        </w:rPr>
      </w:pPr>
      <w:r>
        <w:rPr>
          <w:color w:val="0E101A"/>
        </w:rPr>
        <w:t>  </w:t>
      </w:r>
    </w:p>
    <w:p w14:paraId="45FEBB12" w14:textId="6C352C1D" w:rsidR="007C1914" w:rsidRPr="006A7232" w:rsidRDefault="007C1914" w:rsidP="006A7232">
      <w:pPr>
        <w:spacing w:line="480" w:lineRule="auto"/>
      </w:pPr>
    </w:p>
    <w:sectPr w:rsidR="007C1914" w:rsidRPr="006A72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3EAF44" w14:textId="77777777" w:rsidR="00502AA1" w:rsidRDefault="00502AA1" w:rsidP="00B433EC">
      <w:pPr>
        <w:spacing w:after="0" w:line="240" w:lineRule="auto"/>
      </w:pPr>
      <w:r>
        <w:separator/>
      </w:r>
    </w:p>
  </w:endnote>
  <w:endnote w:type="continuationSeparator" w:id="0">
    <w:p w14:paraId="610D67AA" w14:textId="77777777" w:rsidR="00502AA1" w:rsidRDefault="00502AA1" w:rsidP="00B43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186FCA" w14:textId="77777777" w:rsidR="00502AA1" w:rsidRDefault="00502AA1" w:rsidP="00B433EC">
      <w:pPr>
        <w:spacing w:after="0" w:line="240" w:lineRule="auto"/>
      </w:pPr>
      <w:r>
        <w:separator/>
      </w:r>
    </w:p>
  </w:footnote>
  <w:footnote w:type="continuationSeparator" w:id="0">
    <w:p w14:paraId="11DB24A5" w14:textId="77777777" w:rsidR="00502AA1" w:rsidRDefault="00502AA1" w:rsidP="00B433EC">
      <w:pPr>
        <w:spacing w:after="0" w:line="240" w:lineRule="auto"/>
      </w:pPr>
      <w:r>
        <w:continuationSeparator/>
      </w:r>
    </w:p>
  </w:footnote>
  <w:footnote w:id="1">
    <w:p w14:paraId="25662631" w14:textId="63EDB7AA" w:rsidR="006A7232" w:rsidRPr="006A7232" w:rsidRDefault="006A7232" w:rsidP="006A7232">
      <w:pPr>
        <w:pStyle w:val="FootnoteText"/>
        <w:spacing w:before="240"/>
        <w:ind w:firstLine="720"/>
        <w:rPr>
          <w:rFonts w:ascii="Times New Roman" w:hAnsi="Times New Roman" w:cs="Times New Roman"/>
        </w:rPr>
      </w:pPr>
      <w:r w:rsidRPr="006A7232">
        <w:rPr>
          <w:rStyle w:val="FootnoteReference"/>
          <w:rFonts w:ascii="Times New Roman" w:hAnsi="Times New Roman" w:cs="Times New Roman"/>
        </w:rPr>
        <w:footnoteRef/>
      </w:r>
      <w:r w:rsidRPr="006A7232">
        <w:rPr>
          <w:rFonts w:ascii="Times New Roman" w:hAnsi="Times New Roman" w:cs="Times New Roman"/>
        </w:rPr>
        <w:t xml:space="preserve"> </w:t>
      </w:r>
      <w:r w:rsidRPr="006A7232">
        <w:rPr>
          <w:rFonts w:ascii="Times New Roman" w:hAnsi="Times New Roman" w:cs="Times New Roman"/>
          <w:color w:val="0E101A"/>
        </w:rPr>
        <w:t>Mark A. Noll, </w:t>
      </w:r>
      <w:r w:rsidRPr="006A7232">
        <w:rPr>
          <w:rStyle w:val="Emphasis"/>
          <w:rFonts w:ascii="Times New Roman" w:hAnsi="Times New Roman" w:cs="Times New Roman"/>
          <w:color w:val="0E101A"/>
        </w:rPr>
        <w:t>Turning Points: Decisive Moments in the History of Christianity</w:t>
      </w:r>
      <w:r w:rsidRPr="006A7232">
        <w:rPr>
          <w:rFonts w:ascii="Times New Roman" w:hAnsi="Times New Roman" w:cs="Times New Roman"/>
          <w:color w:val="0E101A"/>
        </w:rPr>
        <w:t>, 3rd Edition (Grand Rapids, MI: Baker Academic, 2018), 288.</w:t>
      </w:r>
    </w:p>
  </w:footnote>
  <w:footnote w:id="2">
    <w:p w14:paraId="277D911E" w14:textId="75F139F3" w:rsidR="006A7232" w:rsidRDefault="006A7232" w:rsidP="006A7232">
      <w:pPr>
        <w:pStyle w:val="FootnoteText"/>
        <w:spacing w:before="240"/>
        <w:ind w:firstLine="720"/>
      </w:pPr>
      <w:r w:rsidRPr="006A7232">
        <w:rPr>
          <w:rStyle w:val="FootnoteReference"/>
          <w:rFonts w:ascii="Times New Roman" w:hAnsi="Times New Roman" w:cs="Times New Roman"/>
        </w:rPr>
        <w:footnoteRef/>
      </w:r>
      <w:r w:rsidRPr="006A7232">
        <w:rPr>
          <w:rFonts w:ascii="Times New Roman" w:hAnsi="Times New Roman" w:cs="Times New Roman"/>
        </w:rPr>
        <w:t xml:space="preserve"> Ibid., 288.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AC"/>
    <w:rsid w:val="000C01AC"/>
    <w:rsid w:val="00502AA1"/>
    <w:rsid w:val="006A7232"/>
    <w:rsid w:val="007C1914"/>
    <w:rsid w:val="00B43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9D95B"/>
  <w15:chartTrackingRefBased/>
  <w15:docId w15:val="{188A4C0E-E87E-4BB3-9F92-62474B0A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433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33EC"/>
    <w:rPr>
      <w:sz w:val="20"/>
      <w:szCs w:val="20"/>
    </w:rPr>
  </w:style>
  <w:style w:type="character" w:styleId="FootnoteReference">
    <w:name w:val="footnote reference"/>
    <w:basedOn w:val="DefaultParagraphFont"/>
    <w:uiPriority w:val="99"/>
    <w:semiHidden/>
    <w:unhideWhenUsed/>
    <w:rsid w:val="00B433EC"/>
    <w:rPr>
      <w:vertAlign w:val="superscript"/>
    </w:rPr>
  </w:style>
  <w:style w:type="paragraph" w:styleId="NormalWeb">
    <w:name w:val="Normal (Web)"/>
    <w:basedOn w:val="Normal"/>
    <w:uiPriority w:val="99"/>
    <w:unhideWhenUsed/>
    <w:rsid w:val="006A723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A7232"/>
    <w:rPr>
      <w:color w:val="0000FF"/>
      <w:u w:val="single"/>
    </w:rPr>
  </w:style>
  <w:style w:type="character" w:styleId="Emphasis">
    <w:name w:val="Emphasis"/>
    <w:basedOn w:val="DefaultParagraphFont"/>
    <w:uiPriority w:val="20"/>
    <w:qFormat/>
    <w:rsid w:val="006A72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000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D06CD92-8D4D-49FD-9D49-3ED97D997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2021-02-26T19:03:00Z</dcterms:created>
  <dcterms:modified xsi:type="dcterms:W3CDTF">2021-02-26T19:55:00Z</dcterms:modified>
</cp:coreProperties>
</file>