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3F013" w14:textId="77777777" w:rsidR="006759E0" w:rsidRPr="006759E0" w:rsidRDefault="006759E0" w:rsidP="006759E0">
      <w:pPr>
        <w:spacing w:before="240" w:after="0" w:line="240" w:lineRule="auto"/>
        <w:rPr>
          <w:rFonts w:ascii="Times New Roman" w:eastAsia="Times New Roman" w:hAnsi="Times New Roman" w:cs="Times New Roman"/>
          <w:color w:val="0E101A"/>
          <w:sz w:val="24"/>
          <w:szCs w:val="24"/>
        </w:rPr>
      </w:pPr>
      <w:r w:rsidRPr="006759E0">
        <w:rPr>
          <w:rFonts w:ascii="Times New Roman" w:eastAsia="Times New Roman" w:hAnsi="Times New Roman" w:cs="Times New Roman"/>
          <w:i/>
          <w:iCs/>
          <w:color w:val="0E101A"/>
          <w:sz w:val="24"/>
          <w:szCs w:val="24"/>
        </w:rPr>
        <w:t>The Making of the 1963 Baptist Faith and Message</w:t>
      </w:r>
      <w:r w:rsidRPr="006759E0">
        <w:rPr>
          <w:rFonts w:ascii="Times New Roman" w:eastAsia="Times New Roman" w:hAnsi="Times New Roman" w:cs="Times New Roman"/>
          <w:color w:val="0E101A"/>
          <w:sz w:val="24"/>
          <w:szCs w:val="24"/>
        </w:rPr>
        <w:t>. By A. J. Smith. Eugene, OR: Wipf and Stock, 2008, 201pp. + xi, $31.00.</w:t>
      </w:r>
    </w:p>
    <w:p w14:paraId="7EEDBD20" w14:textId="1261F2F2" w:rsidR="006759E0" w:rsidRPr="006759E0" w:rsidRDefault="006759E0" w:rsidP="006759E0">
      <w:pPr>
        <w:spacing w:before="240" w:after="0" w:line="480" w:lineRule="auto"/>
        <w:ind w:firstLine="720"/>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 xml:space="preserve">Jesse Smith’s dissertation on </w:t>
      </w:r>
      <w:r w:rsidR="00585720">
        <w:rPr>
          <w:rFonts w:ascii="Times New Roman" w:eastAsia="Times New Roman" w:hAnsi="Times New Roman" w:cs="Times New Roman"/>
          <w:color w:val="0E101A"/>
          <w:sz w:val="24"/>
          <w:szCs w:val="24"/>
        </w:rPr>
        <w:t>how t</w:t>
      </w:r>
      <w:r w:rsidRPr="006759E0">
        <w:rPr>
          <w:rFonts w:ascii="Times New Roman" w:eastAsia="Times New Roman" w:hAnsi="Times New Roman" w:cs="Times New Roman"/>
          <w:color w:val="0E101A"/>
          <w:sz w:val="24"/>
          <w:szCs w:val="24"/>
        </w:rPr>
        <w:t xml:space="preserve">he </w:t>
      </w:r>
      <w:r w:rsidR="00585720">
        <w:rPr>
          <w:rFonts w:ascii="Times New Roman" w:eastAsia="Times New Roman" w:hAnsi="Times New Roman" w:cs="Times New Roman"/>
          <w:color w:val="0E101A"/>
          <w:sz w:val="24"/>
          <w:szCs w:val="24"/>
        </w:rPr>
        <w:t>m</w:t>
      </w:r>
      <w:r w:rsidRPr="006759E0">
        <w:rPr>
          <w:rFonts w:ascii="Times New Roman" w:eastAsia="Times New Roman" w:hAnsi="Times New Roman" w:cs="Times New Roman"/>
          <w:color w:val="0E101A"/>
          <w:sz w:val="24"/>
          <w:szCs w:val="24"/>
        </w:rPr>
        <w:t xml:space="preserve">aking of the Baptist Faith and </w:t>
      </w:r>
      <w:r w:rsidR="00585720">
        <w:rPr>
          <w:rFonts w:ascii="Times New Roman" w:eastAsia="Times New Roman" w:hAnsi="Times New Roman" w:cs="Times New Roman"/>
          <w:color w:val="0E101A"/>
          <w:sz w:val="24"/>
          <w:szCs w:val="24"/>
        </w:rPr>
        <w:t>M</w:t>
      </w:r>
      <w:r w:rsidRPr="006759E0">
        <w:rPr>
          <w:rFonts w:ascii="Times New Roman" w:eastAsia="Times New Roman" w:hAnsi="Times New Roman" w:cs="Times New Roman"/>
          <w:color w:val="0E101A"/>
          <w:sz w:val="24"/>
          <w:szCs w:val="24"/>
        </w:rPr>
        <w:t xml:space="preserve">essage </w:t>
      </w:r>
      <w:r w:rsidR="00585720">
        <w:rPr>
          <w:rFonts w:ascii="Times New Roman" w:eastAsia="Times New Roman" w:hAnsi="Times New Roman" w:cs="Times New Roman"/>
          <w:color w:val="0E101A"/>
          <w:sz w:val="24"/>
          <w:szCs w:val="24"/>
        </w:rPr>
        <w:t xml:space="preserve">came to be </w:t>
      </w:r>
      <w:r w:rsidR="008B3B45">
        <w:rPr>
          <w:rFonts w:ascii="Times New Roman" w:eastAsia="Times New Roman" w:hAnsi="Times New Roman" w:cs="Times New Roman"/>
          <w:color w:val="0E101A"/>
          <w:sz w:val="24"/>
          <w:szCs w:val="24"/>
        </w:rPr>
        <w:t>seeks to prove</w:t>
      </w:r>
      <w:r w:rsidRPr="006759E0">
        <w:rPr>
          <w:rFonts w:ascii="Times New Roman" w:eastAsia="Times New Roman" w:hAnsi="Times New Roman" w:cs="Times New Roman"/>
          <w:color w:val="0E101A"/>
          <w:sz w:val="24"/>
          <w:szCs w:val="24"/>
        </w:rPr>
        <w:t xml:space="preserve"> that </w:t>
      </w:r>
      <w:r w:rsidR="008B3B45">
        <w:rPr>
          <w:rFonts w:ascii="Times New Roman" w:eastAsia="Times New Roman" w:hAnsi="Times New Roman" w:cs="Times New Roman"/>
          <w:color w:val="0E101A"/>
          <w:sz w:val="24"/>
          <w:szCs w:val="24"/>
        </w:rPr>
        <w:t>“</w:t>
      </w:r>
      <w:r w:rsidR="008B3B45" w:rsidRPr="008B3B45">
        <w:rPr>
          <w:rFonts w:ascii="Times New Roman" w:eastAsia="Times New Roman" w:hAnsi="Times New Roman" w:cs="Times New Roman"/>
          <w:color w:val="0E101A"/>
          <w:sz w:val="24"/>
          <w:szCs w:val="24"/>
        </w:rPr>
        <w:t xml:space="preserve">Herschel Hobbs through his work on the BFM </w:t>
      </w:r>
      <w:r w:rsidRPr="006759E0">
        <w:rPr>
          <w:rFonts w:ascii="Times New Roman" w:eastAsia="Times New Roman" w:hAnsi="Times New Roman" w:cs="Times New Roman"/>
          <w:color w:val="0E101A"/>
          <w:sz w:val="24"/>
          <w:szCs w:val="24"/>
        </w:rPr>
        <w:t>sought to avert an immediate denominational split through the reformulation of key historic Baptist doctrines, wording some broadly to allow for widely divergent interpretations without sacrificing the Convention’s conservative base</w:t>
      </w:r>
      <w:r w:rsidR="008B3B45">
        <w:rPr>
          <w:rFonts w:ascii="Times New Roman" w:eastAsia="Times New Roman" w:hAnsi="Times New Roman" w:cs="Times New Roman"/>
          <w:color w:val="0E101A"/>
          <w:sz w:val="24"/>
          <w:szCs w:val="24"/>
        </w:rPr>
        <w:t>” (p. 2)</w:t>
      </w:r>
      <w:r w:rsidRPr="006759E0">
        <w:rPr>
          <w:rFonts w:ascii="Times New Roman" w:eastAsia="Times New Roman" w:hAnsi="Times New Roman" w:cs="Times New Roman"/>
          <w:color w:val="0E101A"/>
          <w:sz w:val="24"/>
          <w:szCs w:val="24"/>
        </w:rPr>
        <w:t xml:space="preserve">. Smith’s work is reasonably convincing as it demonstrates thorough research and unwavering commitment </w:t>
      </w:r>
      <w:r w:rsidR="00585720">
        <w:rPr>
          <w:rFonts w:ascii="Times New Roman" w:eastAsia="Times New Roman" w:hAnsi="Times New Roman" w:cs="Times New Roman"/>
          <w:color w:val="0E101A"/>
          <w:sz w:val="24"/>
          <w:szCs w:val="24"/>
        </w:rPr>
        <w:t>in</w:t>
      </w:r>
      <w:r w:rsidRPr="006759E0">
        <w:rPr>
          <w:rFonts w:ascii="Times New Roman" w:eastAsia="Times New Roman" w:hAnsi="Times New Roman" w:cs="Times New Roman"/>
          <w:color w:val="0E101A"/>
          <w:sz w:val="24"/>
          <w:szCs w:val="24"/>
        </w:rPr>
        <w:t xml:space="preserve"> presen</w:t>
      </w:r>
      <w:r w:rsidR="00585720">
        <w:rPr>
          <w:rFonts w:ascii="Times New Roman" w:eastAsia="Times New Roman" w:hAnsi="Times New Roman" w:cs="Times New Roman"/>
          <w:color w:val="0E101A"/>
          <w:sz w:val="24"/>
          <w:szCs w:val="24"/>
        </w:rPr>
        <w:t xml:space="preserve">ting </w:t>
      </w:r>
      <w:r w:rsidR="006F4C6F">
        <w:rPr>
          <w:rFonts w:ascii="Times New Roman" w:eastAsia="Times New Roman" w:hAnsi="Times New Roman" w:cs="Times New Roman"/>
          <w:color w:val="0E101A"/>
          <w:sz w:val="24"/>
          <w:szCs w:val="24"/>
        </w:rPr>
        <w:t>Baptist</w:t>
      </w:r>
      <w:r w:rsidR="00585720">
        <w:rPr>
          <w:rFonts w:ascii="Times New Roman" w:eastAsia="Times New Roman" w:hAnsi="Times New Roman" w:cs="Times New Roman"/>
          <w:color w:val="0E101A"/>
          <w:sz w:val="24"/>
          <w:szCs w:val="24"/>
        </w:rPr>
        <w:t xml:space="preserve"> history in its purest form</w:t>
      </w:r>
      <w:r w:rsidRPr="006759E0">
        <w:rPr>
          <w:rFonts w:ascii="Times New Roman" w:eastAsia="Times New Roman" w:hAnsi="Times New Roman" w:cs="Times New Roman"/>
          <w:color w:val="0E101A"/>
          <w:sz w:val="24"/>
          <w:szCs w:val="24"/>
        </w:rPr>
        <w:t>.</w:t>
      </w:r>
    </w:p>
    <w:p w14:paraId="017D73FD" w14:textId="564ADD54" w:rsidR="006759E0" w:rsidRPr="006759E0" w:rsidRDefault="006759E0" w:rsidP="006759E0">
      <w:pPr>
        <w:spacing w:after="0" w:line="480" w:lineRule="auto"/>
        <w:ind w:firstLine="720"/>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In the first chapter, he introduces his thesis</w:t>
      </w:r>
      <w:r w:rsidR="000C370F">
        <w:rPr>
          <w:rFonts w:ascii="Times New Roman" w:eastAsia="Times New Roman" w:hAnsi="Times New Roman" w:cs="Times New Roman"/>
          <w:color w:val="0E101A"/>
          <w:sz w:val="24"/>
          <w:szCs w:val="24"/>
        </w:rPr>
        <w:t xml:space="preserve">, </w:t>
      </w:r>
      <w:r w:rsidRPr="006759E0">
        <w:rPr>
          <w:rFonts w:ascii="Times New Roman" w:eastAsia="Times New Roman" w:hAnsi="Times New Roman" w:cs="Times New Roman"/>
          <w:color w:val="0E101A"/>
          <w:sz w:val="24"/>
          <w:szCs w:val="24"/>
        </w:rPr>
        <w:t>previews the research that has already taken place on the subject</w:t>
      </w:r>
      <w:r w:rsidR="000C370F">
        <w:rPr>
          <w:rFonts w:ascii="Times New Roman" w:eastAsia="Times New Roman" w:hAnsi="Times New Roman" w:cs="Times New Roman"/>
          <w:color w:val="0E101A"/>
          <w:sz w:val="24"/>
          <w:szCs w:val="24"/>
        </w:rPr>
        <w:t xml:space="preserve"> and</w:t>
      </w:r>
      <w:r w:rsidRPr="006759E0">
        <w:rPr>
          <w:rFonts w:ascii="Times New Roman" w:eastAsia="Times New Roman" w:hAnsi="Times New Roman" w:cs="Times New Roman"/>
          <w:color w:val="0E101A"/>
          <w:sz w:val="24"/>
          <w:szCs w:val="24"/>
        </w:rPr>
        <w:t xml:space="preserve"> further states the purpose, methodology, and limitations of his work.</w:t>
      </w:r>
    </w:p>
    <w:p w14:paraId="44D7643C" w14:textId="78AF142E" w:rsidR="006759E0" w:rsidRPr="006759E0" w:rsidRDefault="006759E0" w:rsidP="006759E0">
      <w:pPr>
        <w:spacing w:after="0" w:line="480" w:lineRule="auto"/>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 xml:space="preserve">In the second chapter, he delves into the historical crises leading to the formation of the 1963 committee of the Baptist Faith and Message. He writes that though the Southern Baptists </w:t>
      </w:r>
      <w:r w:rsidR="000C370F">
        <w:rPr>
          <w:rFonts w:ascii="Times New Roman" w:eastAsia="Times New Roman" w:hAnsi="Times New Roman" w:cs="Times New Roman"/>
          <w:color w:val="0E101A"/>
          <w:sz w:val="24"/>
          <w:szCs w:val="24"/>
        </w:rPr>
        <w:t>were</w:t>
      </w:r>
      <w:r w:rsidRPr="006759E0">
        <w:rPr>
          <w:rFonts w:ascii="Times New Roman" w:eastAsia="Times New Roman" w:hAnsi="Times New Roman" w:cs="Times New Roman"/>
          <w:color w:val="0E101A"/>
          <w:sz w:val="24"/>
          <w:szCs w:val="24"/>
        </w:rPr>
        <w:t xml:space="preserve"> holding up better than the Northern Baptists, there </w:t>
      </w:r>
      <w:r w:rsidR="000C370F">
        <w:rPr>
          <w:rFonts w:ascii="Times New Roman" w:eastAsia="Times New Roman" w:hAnsi="Times New Roman" w:cs="Times New Roman"/>
          <w:color w:val="0E101A"/>
          <w:sz w:val="24"/>
          <w:szCs w:val="24"/>
        </w:rPr>
        <w:t>was</w:t>
      </w:r>
      <w:r w:rsidRPr="006759E0">
        <w:rPr>
          <w:rFonts w:ascii="Times New Roman" w:eastAsia="Times New Roman" w:hAnsi="Times New Roman" w:cs="Times New Roman"/>
          <w:color w:val="0E101A"/>
          <w:sz w:val="24"/>
          <w:szCs w:val="24"/>
        </w:rPr>
        <w:t xml:space="preserve"> a looming split. Many churches were at loggerheads trying to make sense of their divergent views on doctrinal issues. The conservatives were uncomfortable with the rise of progressive thoughts in schools. On the other hand, the liberals were unhappy with the restrictions. Not only that, but he also highlights some of the concerns faced by the committee in chapter three. Apart from the civil rights movement, he also writes that Baptists were fearful of the threats posed by the resurgence of communism. </w:t>
      </w:r>
    </w:p>
    <w:p w14:paraId="162D3BE6" w14:textId="77777777" w:rsidR="006759E0" w:rsidRPr="006759E0" w:rsidRDefault="006759E0" w:rsidP="006759E0">
      <w:pPr>
        <w:spacing w:after="0" w:line="480" w:lineRule="auto"/>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Having explained the context and factors leading to the Committee formation, Smith uses the fourth and fifth chapters to highlight the ever-sensitive issue of the relationship between Baptist confessionalism, soul liberty, and soul competency. Smith portrays the committee as very keen not to disenfranchise anyone. As a result, their wording allowed for a broadening evangelical interpretation.</w:t>
      </w:r>
    </w:p>
    <w:p w14:paraId="605FAD49" w14:textId="77777777" w:rsidR="006759E0" w:rsidRPr="006759E0" w:rsidRDefault="006759E0" w:rsidP="006759E0">
      <w:pPr>
        <w:spacing w:after="0" w:line="480" w:lineRule="auto"/>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lastRenderedPageBreak/>
        <w:t>Chapter six examines how the committee came into being and defined its task. Smith summarily lists some of the key contributors of the work. These include Herschel Hobb, Wayne Ward, Leo Garrett, and others.</w:t>
      </w:r>
    </w:p>
    <w:p w14:paraId="5187B557" w14:textId="77777777" w:rsidR="006759E0" w:rsidRPr="006759E0" w:rsidRDefault="006759E0" w:rsidP="006759E0">
      <w:pPr>
        <w:spacing w:after="0" w:line="480" w:lineRule="auto"/>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Chapter seven examines four doctrinal areas that substantively changed. These are the doctrine of scripture, man and salvation, and the church. Smith offers the conclusion in chapter eight, followed by four appendices that contain early drafts of the committee’s work.</w:t>
      </w:r>
    </w:p>
    <w:p w14:paraId="5E44B30E" w14:textId="7924768E" w:rsidR="006759E0" w:rsidRPr="006759E0" w:rsidRDefault="006759E0" w:rsidP="006759E0">
      <w:pPr>
        <w:spacing w:after="0" w:line="480" w:lineRule="auto"/>
        <w:ind w:firstLine="720"/>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One of the strengths of his work is its thoroughness. Smith to obtain the background of the Baptist doctrinal formulation</w:t>
      </w:r>
      <w:r>
        <w:rPr>
          <w:rFonts w:ascii="Times New Roman" w:eastAsia="Times New Roman" w:hAnsi="Times New Roman" w:cs="Times New Roman"/>
          <w:color w:val="0E101A"/>
          <w:sz w:val="24"/>
          <w:szCs w:val="24"/>
        </w:rPr>
        <w:t xml:space="preserve"> of 1963</w:t>
      </w:r>
      <w:r w:rsidRPr="006759E0">
        <w:rPr>
          <w:rFonts w:ascii="Times New Roman" w:eastAsia="Times New Roman" w:hAnsi="Times New Roman" w:cs="Times New Roman"/>
          <w:color w:val="0E101A"/>
          <w:sz w:val="24"/>
          <w:szCs w:val="24"/>
        </w:rPr>
        <w:t xml:space="preserve"> </w:t>
      </w:r>
      <w:r>
        <w:rPr>
          <w:rFonts w:ascii="Times New Roman" w:eastAsia="Times New Roman" w:hAnsi="Times New Roman" w:cs="Times New Roman"/>
          <w:color w:val="0E101A"/>
          <w:sz w:val="24"/>
          <w:szCs w:val="24"/>
        </w:rPr>
        <w:t>looks</w:t>
      </w:r>
      <w:r w:rsidRPr="006759E0">
        <w:rPr>
          <w:rFonts w:ascii="Times New Roman" w:eastAsia="Times New Roman" w:hAnsi="Times New Roman" w:cs="Times New Roman"/>
          <w:color w:val="0E101A"/>
          <w:sz w:val="24"/>
          <w:szCs w:val="24"/>
        </w:rPr>
        <w:t xml:space="preserve"> back to 1925 where he gets to interact with </w:t>
      </w:r>
      <w:r>
        <w:rPr>
          <w:rFonts w:ascii="Times New Roman" w:eastAsia="Times New Roman" w:hAnsi="Times New Roman" w:cs="Times New Roman"/>
          <w:color w:val="0E101A"/>
          <w:sz w:val="24"/>
          <w:szCs w:val="24"/>
        </w:rPr>
        <w:t>an earlier edition</w:t>
      </w:r>
      <w:r w:rsidRPr="006759E0">
        <w:rPr>
          <w:rFonts w:ascii="Times New Roman" w:eastAsia="Times New Roman" w:hAnsi="Times New Roman" w:cs="Times New Roman"/>
          <w:color w:val="0E101A"/>
          <w:sz w:val="24"/>
          <w:szCs w:val="24"/>
        </w:rPr>
        <w:t xml:space="preserve"> of </w:t>
      </w:r>
      <w:r>
        <w:rPr>
          <w:rFonts w:ascii="Times New Roman" w:eastAsia="Times New Roman" w:hAnsi="Times New Roman" w:cs="Times New Roman"/>
          <w:color w:val="0E101A"/>
          <w:sz w:val="24"/>
          <w:szCs w:val="24"/>
        </w:rPr>
        <w:t>the Baptist Faith and Message</w:t>
      </w:r>
      <w:r w:rsidRPr="006759E0">
        <w:rPr>
          <w:rFonts w:ascii="Times New Roman" w:eastAsia="Times New Roman" w:hAnsi="Times New Roman" w:cs="Times New Roman"/>
          <w:color w:val="0E101A"/>
          <w:sz w:val="24"/>
          <w:szCs w:val="24"/>
        </w:rPr>
        <w:t xml:space="preserve">. He also goes overseas (in England) where substantial formulations of Baptist doctrine happened. </w:t>
      </w:r>
      <w:r>
        <w:rPr>
          <w:rFonts w:ascii="Times New Roman" w:eastAsia="Times New Roman" w:hAnsi="Times New Roman" w:cs="Times New Roman"/>
          <w:color w:val="0E101A"/>
          <w:sz w:val="24"/>
          <w:szCs w:val="24"/>
        </w:rPr>
        <w:t xml:space="preserve">Simply, </w:t>
      </w:r>
      <w:r w:rsidRPr="006759E0">
        <w:rPr>
          <w:rFonts w:ascii="Times New Roman" w:eastAsia="Times New Roman" w:hAnsi="Times New Roman" w:cs="Times New Roman"/>
          <w:color w:val="0E101A"/>
          <w:sz w:val="24"/>
          <w:szCs w:val="24"/>
        </w:rPr>
        <w:t xml:space="preserve">Smith goes to great lengths to show how the most important deliberations of the committee came to be. By rendering </w:t>
      </w:r>
      <w:r w:rsidR="000C370F">
        <w:rPr>
          <w:rFonts w:ascii="Times New Roman" w:eastAsia="Times New Roman" w:hAnsi="Times New Roman" w:cs="Times New Roman"/>
          <w:color w:val="0E101A"/>
          <w:sz w:val="24"/>
          <w:szCs w:val="24"/>
        </w:rPr>
        <w:t>sources</w:t>
      </w:r>
      <w:r w:rsidRPr="006759E0">
        <w:rPr>
          <w:rFonts w:ascii="Times New Roman" w:eastAsia="Times New Roman" w:hAnsi="Times New Roman" w:cs="Times New Roman"/>
          <w:color w:val="0E101A"/>
          <w:sz w:val="24"/>
          <w:szCs w:val="24"/>
        </w:rPr>
        <w:t xml:space="preserve"> to his work and producing drafts in the appendices, he leaves the reader with no doubt about the reliability of his points. Besides, his systematic and organized truthing is another strength. From the onset, he builds his case by giving the background of the tensions hovering over the Baptist faith. He goes on further to present some of the concerns that led to the formation of the committee. All along, he intelligently draws Herschel Hobbs into the picture portraying him as the voice of reason of the warring factions of the faith. By doing so, he shows that he has followed through with his thesis and firmly defended it.</w:t>
      </w:r>
    </w:p>
    <w:p w14:paraId="0C9601DF" w14:textId="685B9BAA" w:rsidR="006759E0" w:rsidRPr="006759E0" w:rsidRDefault="006759E0" w:rsidP="006759E0">
      <w:pPr>
        <w:spacing w:after="0" w:line="480" w:lineRule="auto"/>
        <w:ind w:firstLine="720"/>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On the other hand, one of the weaknesses to the book is that it is not exhaustive. The goal of the 1963 Committee was to avert a split. It would have sufficed to inform the reader on whether it achieved that goal. Smith writes that as a result of the 1963 Committee's deliberations, they substantive</w:t>
      </w:r>
      <w:r>
        <w:rPr>
          <w:rFonts w:ascii="Times New Roman" w:eastAsia="Times New Roman" w:hAnsi="Times New Roman" w:cs="Times New Roman"/>
          <w:color w:val="0E101A"/>
          <w:sz w:val="24"/>
          <w:szCs w:val="24"/>
        </w:rPr>
        <w:t>ly</w:t>
      </w:r>
      <w:r w:rsidRPr="006759E0">
        <w:rPr>
          <w:rFonts w:ascii="Times New Roman" w:eastAsia="Times New Roman" w:hAnsi="Times New Roman" w:cs="Times New Roman"/>
          <w:color w:val="0E101A"/>
          <w:sz w:val="24"/>
          <w:szCs w:val="24"/>
        </w:rPr>
        <w:t xml:space="preserve"> changed doctrinal areas to accommodate divergent views. Smith seems to suggest that the Committee had an unintended outcome. </w:t>
      </w:r>
      <w:r w:rsidR="0073139B">
        <w:rPr>
          <w:rFonts w:ascii="Times New Roman" w:eastAsia="Times New Roman" w:hAnsi="Times New Roman" w:cs="Times New Roman"/>
          <w:color w:val="0E101A"/>
          <w:sz w:val="24"/>
          <w:szCs w:val="24"/>
        </w:rPr>
        <w:t>Consequently, he</w:t>
      </w:r>
      <w:r w:rsidR="0073139B" w:rsidRPr="0073139B">
        <w:rPr>
          <w:rFonts w:ascii="Times New Roman" w:eastAsia="Times New Roman" w:hAnsi="Times New Roman" w:cs="Times New Roman"/>
          <w:color w:val="0E101A"/>
          <w:sz w:val="24"/>
          <w:szCs w:val="24"/>
        </w:rPr>
        <w:t xml:space="preserve"> creates </w:t>
      </w:r>
      <w:r w:rsidR="0073139B">
        <w:rPr>
          <w:rFonts w:ascii="Times New Roman" w:eastAsia="Times New Roman" w:hAnsi="Times New Roman" w:cs="Times New Roman"/>
          <w:color w:val="0E101A"/>
          <w:sz w:val="24"/>
          <w:szCs w:val="24"/>
        </w:rPr>
        <w:t>a</w:t>
      </w:r>
      <w:r w:rsidR="0073139B" w:rsidRPr="0073139B">
        <w:rPr>
          <w:rFonts w:ascii="Times New Roman" w:eastAsia="Times New Roman" w:hAnsi="Times New Roman" w:cs="Times New Roman"/>
          <w:color w:val="0E101A"/>
          <w:sz w:val="24"/>
          <w:szCs w:val="24"/>
        </w:rPr>
        <w:t xml:space="preserve"> difficult</w:t>
      </w:r>
      <w:r w:rsidR="0073139B">
        <w:rPr>
          <w:rFonts w:ascii="Times New Roman" w:eastAsia="Times New Roman" w:hAnsi="Times New Roman" w:cs="Times New Roman"/>
          <w:color w:val="0E101A"/>
          <w:sz w:val="24"/>
          <w:szCs w:val="24"/>
        </w:rPr>
        <w:t>y</w:t>
      </w:r>
      <w:r w:rsidR="0073139B" w:rsidRPr="0073139B">
        <w:rPr>
          <w:rFonts w:ascii="Times New Roman" w:eastAsia="Times New Roman" w:hAnsi="Times New Roman" w:cs="Times New Roman"/>
          <w:color w:val="0E101A"/>
          <w:sz w:val="24"/>
          <w:szCs w:val="24"/>
        </w:rPr>
        <w:t xml:space="preserve"> for </w:t>
      </w:r>
      <w:r w:rsidR="0073139B" w:rsidRPr="0073139B">
        <w:rPr>
          <w:rFonts w:ascii="Times New Roman" w:eastAsia="Times New Roman" w:hAnsi="Times New Roman" w:cs="Times New Roman"/>
          <w:color w:val="0E101A"/>
          <w:sz w:val="24"/>
          <w:szCs w:val="24"/>
        </w:rPr>
        <w:lastRenderedPageBreak/>
        <w:t>himself by raising questions that do not need to be put</w:t>
      </w:r>
      <w:r w:rsidR="0073139B">
        <w:rPr>
          <w:rFonts w:ascii="Times New Roman" w:eastAsia="Times New Roman" w:hAnsi="Times New Roman" w:cs="Times New Roman"/>
          <w:color w:val="0E101A"/>
          <w:sz w:val="24"/>
          <w:szCs w:val="24"/>
        </w:rPr>
        <w:t>. One is left wondering,</w:t>
      </w:r>
      <w:r w:rsidRPr="006759E0">
        <w:rPr>
          <w:rFonts w:ascii="Times New Roman" w:eastAsia="Times New Roman" w:hAnsi="Times New Roman" w:cs="Times New Roman"/>
          <w:color w:val="0E101A"/>
          <w:sz w:val="24"/>
          <w:szCs w:val="24"/>
        </w:rPr>
        <w:t xml:space="preserve"> was the intended goal of unity achieved? If not, what could have been the issue? Also, the fact that the book does not capture the possible scenarios of the aftermath of the final work is quite underwhelming. Readers would want to know if conflicts ensued from the vague wording of key doctrines. They will also want to know how diaspora satellite Baptist churches such as those in Africa reacted to the subtle shifts in Baptist theology. Finally, they would also be curious to know if the committee achieved academic freedom. Could it be possible that some factions continued with their former set of beliefs and still held on to suspicions on the other?</w:t>
      </w:r>
    </w:p>
    <w:p w14:paraId="71D27D0F" w14:textId="2A4586BC" w:rsidR="006759E0" w:rsidRPr="006759E0" w:rsidRDefault="006759E0" w:rsidP="006759E0">
      <w:pPr>
        <w:spacing w:after="0" w:line="480" w:lineRule="auto"/>
        <w:ind w:firstLine="720"/>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Overall, Smith’s work is a masterpiece. Historians will find it very valuable if they have an interest in understanding the Baptist faith. Church leaders currently dealing in their congregations with clashes between conservatives and liberals would also find his work useful. The overriding wisdom of broadening the biblical interpretation found in this book is worth trying as it promises peace and unity.</w:t>
      </w:r>
    </w:p>
    <w:p w14:paraId="3314995E" w14:textId="77777777" w:rsidR="006759E0" w:rsidRPr="006759E0" w:rsidRDefault="006759E0" w:rsidP="006759E0">
      <w:pPr>
        <w:spacing w:after="0" w:line="240" w:lineRule="auto"/>
        <w:jc w:val="right"/>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Author Affiliation</w:t>
      </w:r>
    </w:p>
    <w:p w14:paraId="384C7ACC" w14:textId="77777777" w:rsidR="006759E0" w:rsidRPr="006759E0" w:rsidRDefault="006759E0" w:rsidP="006759E0">
      <w:pPr>
        <w:spacing w:after="0" w:line="240" w:lineRule="auto"/>
        <w:jc w:val="right"/>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Kingsley O. Nyakagwa</w:t>
      </w:r>
    </w:p>
    <w:p w14:paraId="690FC12B" w14:textId="77777777" w:rsidR="006759E0" w:rsidRPr="006759E0" w:rsidRDefault="006759E0" w:rsidP="006759E0">
      <w:pPr>
        <w:spacing w:after="0" w:line="240" w:lineRule="auto"/>
        <w:jc w:val="right"/>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Liberty University, Lynchburg, VA</w:t>
      </w:r>
    </w:p>
    <w:p w14:paraId="1C727F64" w14:textId="3F622FF4" w:rsidR="006759E0" w:rsidRPr="006759E0" w:rsidRDefault="006759E0" w:rsidP="006759E0">
      <w:pPr>
        <w:spacing w:after="0" w:line="240" w:lineRule="auto"/>
        <w:jc w:val="right"/>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Word Count: </w:t>
      </w:r>
      <w:r>
        <w:rPr>
          <w:rFonts w:ascii="Times New Roman" w:eastAsia="Times New Roman" w:hAnsi="Times New Roman" w:cs="Times New Roman"/>
          <w:color w:val="0E101A"/>
          <w:sz w:val="24"/>
          <w:szCs w:val="24"/>
        </w:rPr>
        <w:t>8</w:t>
      </w:r>
      <w:r w:rsidR="006F4C6F">
        <w:rPr>
          <w:rFonts w:ascii="Times New Roman" w:eastAsia="Times New Roman" w:hAnsi="Times New Roman" w:cs="Times New Roman"/>
          <w:color w:val="0E101A"/>
          <w:sz w:val="24"/>
          <w:szCs w:val="24"/>
        </w:rPr>
        <w:t>55</w:t>
      </w:r>
    </w:p>
    <w:p w14:paraId="6F8DE0F6" w14:textId="77777777" w:rsidR="006759E0" w:rsidRPr="006759E0" w:rsidRDefault="006759E0" w:rsidP="006759E0">
      <w:pPr>
        <w:spacing w:after="0" w:line="240" w:lineRule="auto"/>
        <w:jc w:val="right"/>
        <w:rPr>
          <w:rFonts w:ascii="Times New Roman" w:eastAsia="Times New Roman" w:hAnsi="Times New Roman" w:cs="Times New Roman"/>
          <w:color w:val="0E101A"/>
          <w:sz w:val="24"/>
          <w:szCs w:val="24"/>
        </w:rPr>
      </w:pPr>
      <w:r w:rsidRPr="006759E0">
        <w:rPr>
          <w:rFonts w:ascii="Times New Roman" w:eastAsia="Times New Roman" w:hAnsi="Times New Roman" w:cs="Times New Roman"/>
          <w:color w:val="0E101A"/>
          <w:sz w:val="24"/>
          <w:szCs w:val="24"/>
        </w:rPr>
        <w:t>February 2021</w:t>
      </w:r>
    </w:p>
    <w:p w14:paraId="76B0AE80" w14:textId="77777777" w:rsidR="007E4DE4" w:rsidRPr="006759E0" w:rsidRDefault="007E4DE4" w:rsidP="006759E0">
      <w:pPr>
        <w:spacing w:line="480" w:lineRule="auto"/>
      </w:pPr>
    </w:p>
    <w:sectPr w:rsidR="007E4DE4" w:rsidRPr="006759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34AD78" w14:textId="77777777" w:rsidR="00D02591" w:rsidRDefault="00D02591" w:rsidP="001C6AE8">
      <w:pPr>
        <w:spacing w:after="0" w:line="240" w:lineRule="auto"/>
      </w:pPr>
      <w:r>
        <w:separator/>
      </w:r>
    </w:p>
  </w:endnote>
  <w:endnote w:type="continuationSeparator" w:id="0">
    <w:p w14:paraId="2DD249BE" w14:textId="77777777" w:rsidR="00D02591" w:rsidRDefault="00D02591" w:rsidP="001C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9CA2F" w14:textId="77777777" w:rsidR="00D02591" w:rsidRDefault="00D02591" w:rsidP="001C6AE8">
      <w:pPr>
        <w:spacing w:after="0" w:line="240" w:lineRule="auto"/>
      </w:pPr>
      <w:r>
        <w:separator/>
      </w:r>
    </w:p>
  </w:footnote>
  <w:footnote w:type="continuationSeparator" w:id="0">
    <w:p w14:paraId="146A53E6" w14:textId="77777777" w:rsidR="00D02591" w:rsidRDefault="00D02591" w:rsidP="001C6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6746207"/>
      <w:docPartObj>
        <w:docPartGallery w:val="Page Numbers (Top of Page)"/>
        <w:docPartUnique/>
      </w:docPartObj>
    </w:sdtPr>
    <w:sdtEndPr>
      <w:rPr>
        <w:noProof/>
      </w:rPr>
    </w:sdtEndPr>
    <w:sdtContent>
      <w:p w14:paraId="453AF88C" w14:textId="684B80D4" w:rsidR="001C6AE8" w:rsidRDefault="001C6AE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154CD2" w14:textId="77777777" w:rsidR="001C6AE8" w:rsidRDefault="001C6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0C2A6E"/>
    <w:multiLevelType w:val="hybridMultilevel"/>
    <w:tmpl w:val="1FEAC9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561"/>
    <w:rsid w:val="00017917"/>
    <w:rsid w:val="000C370F"/>
    <w:rsid w:val="00120DCB"/>
    <w:rsid w:val="00143815"/>
    <w:rsid w:val="001503B3"/>
    <w:rsid w:val="0015538F"/>
    <w:rsid w:val="001B56CC"/>
    <w:rsid w:val="001C6AE8"/>
    <w:rsid w:val="001F2A8F"/>
    <w:rsid w:val="001F5517"/>
    <w:rsid w:val="00244545"/>
    <w:rsid w:val="00253D95"/>
    <w:rsid w:val="00307C19"/>
    <w:rsid w:val="00490968"/>
    <w:rsid w:val="005734CC"/>
    <w:rsid w:val="00585720"/>
    <w:rsid w:val="005946DF"/>
    <w:rsid w:val="005E321A"/>
    <w:rsid w:val="006759E0"/>
    <w:rsid w:val="006F4C6F"/>
    <w:rsid w:val="007149DC"/>
    <w:rsid w:val="0073139B"/>
    <w:rsid w:val="007452A7"/>
    <w:rsid w:val="0077243D"/>
    <w:rsid w:val="00774D92"/>
    <w:rsid w:val="007C3B45"/>
    <w:rsid w:val="007E3275"/>
    <w:rsid w:val="007E4DE4"/>
    <w:rsid w:val="007F2D34"/>
    <w:rsid w:val="00871220"/>
    <w:rsid w:val="008B3B45"/>
    <w:rsid w:val="00943513"/>
    <w:rsid w:val="00955E12"/>
    <w:rsid w:val="00997561"/>
    <w:rsid w:val="00A00B37"/>
    <w:rsid w:val="00A42CEC"/>
    <w:rsid w:val="00A92AE1"/>
    <w:rsid w:val="00B75913"/>
    <w:rsid w:val="00B77B14"/>
    <w:rsid w:val="00B87F36"/>
    <w:rsid w:val="00BE60AE"/>
    <w:rsid w:val="00C40728"/>
    <w:rsid w:val="00C614EB"/>
    <w:rsid w:val="00C62ADF"/>
    <w:rsid w:val="00CC29D5"/>
    <w:rsid w:val="00D02591"/>
    <w:rsid w:val="00D56869"/>
    <w:rsid w:val="00D974EC"/>
    <w:rsid w:val="00E1284F"/>
    <w:rsid w:val="00E321EF"/>
    <w:rsid w:val="00E66FBB"/>
    <w:rsid w:val="00EA1F62"/>
    <w:rsid w:val="00EB49B6"/>
    <w:rsid w:val="00EB7AD3"/>
    <w:rsid w:val="00F13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7C93"/>
  <w15:chartTrackingRefBased/>
  <w15:docId w15:val="{1F96DB00-8940-46C3-A3D5-F214AD88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56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815"/>
    <w:pPr>
      <w:ind w:left="720"/>
      <w:contextualSpacing/>
    </w:pPr>
  </w:style>
  <w:style w:type="paragraph" w:styleId="NormalWeb">
    <w:name w:val="Normal (Web)"/>
    <w:basedOn w:val="Normal"/>
    <w:uiPriority w:val="99"/>
    <w:unhideWhenUsed/>
    <w:rsid w:val="007E4D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4DE4"/>
    <w:rPr>
      <w:i/>
      <w:iCs/>
    </w:rPr>
  </w:style>
  <w:style w:type="paragraph" w:styleId="Header">
    <w:name w:val="header"/>
    <w:basedOn w:val="Normal"/>
    <w:link w:val="HeaderChar"/>
    <w:uiPriority w:val="99"/>
    <w:unhideWhenUsed/>
    <w:rsid w:val="001C6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AE8"/>
  </w:style>
  <w:style w:type="paragraph" w:styleId="Footer">
    <w:name w:val="footer"/>
    <w:basedOn w:val="Normal"/>
    <w:link w:val="FooterChar"/>
    <w:uiPriority w:val="99"/>
    <w:unhideWhenUsed/>
    <w:rsid w:val="001C6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1261914">
      <w:bodyDiv w:val="1"/>
      <w:marLeft w:val="0"/>
      <w:marRight w:val="0"/>
      <w:marTop w:val="0"/>
      <w:marBottom w:val="0"/>
      <w:divBdr>
        <w:top w:val="none" w:sz="0" w:space="0" w:color="auto"/>
        <w:left w:val="none" w:sz="0" w:space="0" w:color="auto"/>
        <w:bottom w:val="none" w:sz="0" w:space="0" w:color="auto"/>
        <w:right w:val="none" w:sz="0" w:space="0" w:color="auto"/>
      </w:divBdr>
    </w:div>
    <w:div w:id="177755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1017</TotalTime>
  <Pages>3</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12</cp:revision>
  <dcterms:created xsi:type="dcterms:W3CDTF">2021-02-17T19:33:00Z</dcterms:created>
  <dcterms:modified xsi:type="dcterms:W3CDTF">2021-02-21T16:12:00Z</dcterms:modified>
</cp:coreProperties>
</file>