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865DD" w14:textId="77777777" w:rsidR="001F7557" w:rsidRPr="001F7557" w:rsidRDefault="001F7557" w:rsidP="001F7557">
      <w:pPr>
        <w:spacing w:after="0" w:line="240" w:lineRule="auto"/>
        <w:rPr>
          <w:rFonts w:ascii="Times New Roman" w:eastAsia="Times New Roman" w:hAnsi="Times New Roman" w:cs="Times New Roman"/>
          <w:color w:val="0E101A"/>
          <w:sz w:val="24"/>
          <w:szCs w:val="24"/>
        </w:rPr>
      </w:pPr>
      <w:r w:rsidRPr="001F7557">
        <w:rPr>
          <w:rFonts w:ascii="Times New Roman" w:eastAsia="Times New Roman" w:hAnsi="Times New Roman" w:cs="Times New Roman"/>
          <w:color w:val="0E101A"/>
          <w:sz w:val="24"/>
          <w:szCs w:val="24"/>
        </w:rPr>
        <w:t>George Medlock,</w:t>
      </w:r>
    </w:p>
    <w:p w14:paraId="4078957E" w14:textId="4F76B0BD" w:rsidR="001F7557" w:rsidRPr="001F7557" w:rsidRDefault="001F7557" w:rsidP="001F7557">
      <w:pPr>
        <w:spacing w:after="0" w:line="240" w:lineRule="auto"/>
        <w:rPr>
          <w:rFonts w:ascii="Times New Roman" w:eastAsia="Times New Roman" w:hAnsi="Times New Roman" w:cs="Times New Roman"/>
          <w:color w:val="0E101A"/>
          <w:sz w:val="24"/>
          <w:szCs w:val="24"/>
        </w:rPr>
      </w:pPr>
      <w:r w:rsidRPr="001F7557">
        <w:rPr>
          <w:rFonts w:ascii="Times New Roman" w:eastAsia="Times New Roman" w:hAnsi="Times New Roman" w:cs="Times New Roman"/>
          <w:color w:val="0E101A"/>
          <w:sz w:val="24"/>
          <w:szCs w:val="24"/>
        </w:rPr>
        <w:t>Thank you for a well-written post. I love how you have elucidated the process of evangelism using your personal experience. Your concluding paragraph stood out for me. If I got you correctly, you introduced the aspect of apologetics to evangelism. As I was reading it, it suddenly dawned on me the need to prepare before evangelizing. Ecclesiastes 10:10 came to mind: “If the ax is dull and its edge unsharpened, more strength is needed, but skill will bring success.”</w:t>
      </w:r>
      <w:r>
        <w:rPr>
          <w:rStyle w:val="FootnoteReference"/>
          <w:rFonts w:ascii="Roboto" w:hAnsi="Roboto"/>
          <w:color w:val="001320"/>
          <w:shd w:val="clear" w:color="auto" w:fill="FFFFFF"/>
        </w:rPr>
        <w:footnoteReference w:id="1"/>
      </w:r>
      <w:r w:rsidRPr="001F7557">
        <w:rPr>
          <w:rFonts w:ascii="Times New Roman" w:eastAsia="Times New Roman" w:hAnsi="Times New Roman" w:cs="Times New Roman"/>
          <w:color w:val="0E101A"/>
          <w:sz w:val="24"/>
          <w:szCs w:val="24"/>
        </w:rPr>
        <w:t xml:space="preserve"> Solomon wanted us to know that to make work easier, a witness would better prepare beforehand. They need to be ready. Thus, though dealing with lost people is messy, I think sometimes it is because of our lack of preparedness. Our failure to prepare by learning how to communicate with people of other cultures, social statuses, or even religions </w:t>
      </w:r>
      <w:proofErr w:type="gramStart"/>
      <w:r w:rsidRPr="001F7557">
        <w:rPr>
          <w:rFonts w:ascii="Times New Roman" w:eastAsia="Times New Roman" w:hAnsi="Times New Roman" w:cs="Times New Roman"/>
          <w:color w:val="0E101A"/>
          <w:sz w:val="24"/>
          <w:szCs w:val="24"/>
        </w:rPr>
        <w:t>put</w:t>
      </w:r>
      <w:r>
        <w:rPr>
          <w:rFonts w:ascii="Times New Roman" w:eastAsia="Times New Roman" w:hAnsi="Times New Roman" w:cs="Times New Roman"/>
          <w:color w:val="0E101A"/>
          <w:sz w:val="24"/>
          <w:szCs w:val="24"/>
        </w:rPr>
        <w:t>s</w:t>
      </w:r>
      <w:proofErr w:type="gramEnd"/>
      <w:r w:rsidRPr="001F7557">
        <w:rPr>
          <w:rFonts w:ascii="Times New Roman" w:eastAsia="Times New Roman" w:hAnsi="Times New Roman" w:cs="Times New Roman"/>
          <w:color w:val="0E101A"/>
          <w:sz w:val="24"/>
          <w:szCs w:val="24"/>
        </w:rPr>
        <w:t xml:space="preserve"> us deep into the mess. I am not a prophet and neither a son of a prophet, but I can almost tell with certainty that lack of preparedness is a sure bet for a very messy experience of evangelism. Furthermore, if we do not take time to study the word of God and master it, then it shall only become harder to evangelize. The Holy Spirit does not remind us of what we have never studied. He reminds us of what we have already studied. On preparations, believers ought to know that when they set out to evangelize they have set out to war. Will McRaney observes, “Personal evangelism is spiritual warfare and must be engaged on a spiritual level.”</w:t>
      </w:r>
      <w:r>
        <w:rPr>
          <w:rStyle w:val="FootnoteReference"/>
          <w:rFonts w:ascii="Roboto" w:hAnsi="Roboto"/>
          <w:color w:val="001320"/>
          <w:shd w:val="clear" w:color="auto" w:fill="FFFFFF"/>
        </w:rPr>
        <w:footnoteReference w:id="2"/>
      </w:r>
      <w:r w:rsidRPr="001F7557">
        <w:rPr>
          <w:rFonts w:ascii="Times New Roman" w:eastAsia="Times New Roman" w:hAnsi="Times New Roman" w:cs="Times New Roman"/>
          <w:color w:val="0E101A"/>
          <w:sz w:val="24"/>
          <w:szCs w:val="24"/>
        </w:rPr>
        <w:t> For a believer to engage in this kind of warfare, they must study the word of God to know which appropriate weapons they are to use.</w:t>
      </w:r>
    </w:p>
    <w:p w14:paraId="096D0F85" w14:textId="77777777" w:rsidR="001F7557" w:rsidRDefault="001F7557"/>
    <w:p w14:paraId="7B38135C" w14:textId="4C2789CD" w:rsidR="00F460D2" w:rsidRPr="001F7557" w:rsidRDefault="00F460D2">
      <w:pPr>
        <w:rPr>
          <w:rFonts w:ascii="Roboto" w:hAnsi="Roboto"/>
          <w:b/>
          <w:bCs/>
          <w:color w:val="001320"/>
          <w:shd w:val="clear" w:color="auto" w:fill="FFFFFF"/>
        </w:rPr>
      </w:pPr>
      <w:r w:rsidRPr="001F7557">
        <w:rPr>
          <w:rFonts w:ascii="Roboto" w:hAnsi="Roboto"/>
          <w:b/>
          <w:bCs/>
          <w:color w:val="001320"/>
          <w:shd w:val="clear" w:color="auto" w:fill="FFFFFF"/>
        </w:rPr>
        <w:t>Bibliography</w:t>
      </w:r>
    </w:p>
    <w:p w14:paraId="13E50C77" w14:textId="77777777" w:rsidR="00F460D2" w:rsidRPr="006008C7" w:rsidRDefault="00F460D2" w:rsidP="00F460D2">
      <w:pPr>
        <w:pStyle w:val="NormalWeb"/>
        <w:shd w:val="clear" w:color="auto" w:fill="FFFFFF"/>
        <w:spacing w:before="0" w:beforeAutospacing="0"/>
        <w:ind w:left="720" w:hanging="720"/>
        <w:rPr>
          <w:color w:val="212529"/>
        </w:rPr>
      </w:pPr>
      <w:r w:rsidRPr="006008C7">
        <w:rPr>
          <w:color w:val="212529"/>
        </w:rPr>
        <w:t>McRaney, Will. </w:t>
      </w:r>
      <w:r w:rsidRPr="006008C7">
        <w:rPr>
          <w:rStyle w:val="Emphasis"/>
          <w:color w:val="212529"/>
        </w:rPr>
        <w:t>The Art of Personal Evangelism, </w:t>
      </w:r>
      <w:r w:rsidRPr="006008C7">
        <w:rPr>
          <w:color w:val="212529"/>
        </w:rPr>
        <w:t>Nashville: B and H Publishing Group, 2003.</w:t>
      </w:r>
    </w:p>
    <w:p w14:paraId="23DE4DDF" w14:textId="77777777" w:rsidR="00F460D2" w:rsidRPr="006A3718" w:rsidRDefault="00F460D2">
      <w:pPr>
        <w:rPr>
          <w:rFonts w:ascii="Roboto" w:hAnsi="Roboto"/>
          <w:color w:val="001320"/>
          <w:shd w:val="clear" w:color="auto" w:fill="FFFFFF"/>
        </w:rPr>
      </w:pPr>
    </w:p>
    <w:sectPr w:rsidR="00F460D2" w:rsidRPr="006A37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2271E" w14:textId="77777777" w:rsidR="008E4137" w:rsidRDefault="008E4137" w:rsidP="006A3718">
      <w:pPr>
        <w:spacing w:after="0" w:line="240" w:lineRule="auto"/>
      </w:pPr>
      <w:r>
        <w:separator/>
      </w:r>
    </w:p>
  </w:endnote>
  <w:endnote w:type="continuationSeparator" w:id="0">
    <w:p w14:paraId="589FAA9C" w14:textId="77777777" w:rsidR="008E4137" w:rsidRDefault="008E4137" w:rsidP="006A3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8819C" w14:textId="77777777" w:rsidR="008E4137" w:rsidRDefault="008E4137" w:rsidP="006A3718">
      <w:pPr>
        <w:spacing w:after="0" w:line="240" w:lineRule="auto"/>
      </w:pPr>
      <w:r>
        <w:separator/>
      </w:r>
    </w:p>
  </w:footnote>
  <w:footnote w:type="continuationSeparator" w:id="0">
    <w:p w14:paraId="566FF9C5" w14:textId="77777777" w:rsidR="008E4137" w:rsidRDefault="008E4137" w:rsidP="006A3718">
      <w:pPr>
        <w:spacing w:after="0" w:line="240" w:lineRule="auto"/>
      </w:pPr>
      <w:r>
        <w:continuationSeparator/>
      </w:r>
    </w:p>
  </w:footnote>
  <w:footnote w:id="1">
    <w:p w14:paraId="73D675EE" w14:textId="77777777" w:rsidR="001F7557" w:rsidRDefault="001F7557" w:rsidP="001F7557">
      <w:pPr>
        <w:pStyle w:val="FootnoteText"/>
      </w:pPr>
      <w:r>
        <w:rPr>
          <w:rStyle w:val="FootnoteReference"/>
        </w:rPr>
        <w:footnoteRef/>
      </w:r>
      <w:r>
        <w:t xml:space="preserve"> </w:t>
      </w:r>
      <w:r w:rsidRPr="004B5D5D">
        <w:rPr>
          <w:rFonts w:ascii="Times New Roman" w:hAnsi="Times New Roman" w:cs="Times New Roman"/>
        </w:rPr>
        <w:t xml:space="preserve">Unless otherwise noted, all biblical passages referenced are in the </w:t>
      </w:r>
      <w:r w:rsidRPr="004B5D5D">
        <w:rPr>
          <w:rFonts w:ascii="Times New Roman" w:hAnsi="Times New Roman" w:cs="Times New Roman"/>
          <w:i/>
          <w:iCs/>
        </w:rPr>
        <w:t>New International Version</w:t>
      </w:r>
      <w:r w:rsidRPr="004B5D5D">
        <w:rPr>
          <w:rFonts w:ascii="Times New Roman" w:hAnsi="Times New Roman" w:cs="Times New Roman"/>
        </w:rPr>
        <w:t xml:space="preserve"> (Grand Rapids, MI: Zondervan, 2011).</w:t>
      </w:r>
    </w:p>
  </w:footnote>
  <w:footnote w:id="2">
    <w:p w14:paraId="639EE01A" w14:textId="77777777" w:rsidR="001F7557" w:rsidRPr="004B5D5D" w:rsidRDefault="001F7557" w:rsidP="001F7557">
      <w:pPr>
        <w:pStyle w:val="FootnoteText"/>
        <w:spacing w:before="240"/>
        <w:ind w:firstLine="720"/>
        <w:rPr>
          <w:rFonts w:ascii="Times New Roman" w:hAnsi="Times New Roman" w:cs="Times New Roman"/>
        </w:rPr>
      </w:pPr>
      <w:r>
        <w:rPr>
          <w:rStyle w:val="FootnoteReference"/>
        </w:rPr>
        <w:footnoteRef/>
      </w:r>
      <w:r>
        <w:t xml:space="preserve"> </w:t>
      </w:r>
      <w:r w:rsidRPr="004B5D5D">
        <w:rPr>
          <w:rFonts w:ascii="Times New Roman" w:hAnsi="Times New Roman" w:cs="Times New Roman"/>
        </w:rPr>
        <w:t xml:space="preserve">Will </w:t>
      </w:r>
      <w:r w:rsidRPr="004B5D5D">
        <w:rPr>
          <w:rFonts w:ascii="Times New Roman" w:hAnsi="Times New Roman" w:cs="Times New Roman"/>
          <w:color w:val="212529"/>
        </w:rPr>
        <w:t xml:space="preserve">McRaney, </w:t>
      </w:r>
      <w:r w:rsidRPr="004B5D5D">
        <w:rPr>
          <w:rStyle w:val="Emphasis"/>
          <w:rFonts w:ascii="Times New Roman" w:hAnsi="Times New Roman" w:cs="Times New Roman"/>
          <w:color w:val="212529"/>
        </w:rPr>
        <w:t>The Art of Personal Evangelism (</w:t>
      </w:r>
      <w:r w:rsidRPr="004B5D5D">
        <w:rPr>
          <w:rFonts w:ascii="Times New Roman" w:hAnsi="Times New Roman" w:cs="Times New Roman"/>
          <w:color w:val="212529"/>
        </w:rPr>
        <w:t xml:space="preserve">Nashville: B and H Publishing Group, 2003), </w:t>
      </w:r>
      <w:r>
        <w:rPr>
          <w:rFonts w:ascii="Times New Roman" w:hAnsi="Times New Roman" w:cs="Times New Roman"/>
          <w:color w:val="212529"/>
        </w:rPr>
        <w:t>28.</w:t>
      </w:r>
      <w:r w:rsidRPr="004B5D5D">
        <w:rPr>
          <w:rFonts w:ascii="Times New Roman" w:hAnsi="Times New Roman" w:cs="Times New Roman"/>
          <w:color w:val="212529"/>
        </w:rPr>
        <w:t>.</w:t>
      </w:r>
    </w:p>
    <w:p w14:paraId="61082504" w14:textId="77777777" w:rsidR="001F7557" w:rsidRDefault="001F7557" w:rsidP="001F7557">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BEB"/>
    <w:rsid w:val="001F7557"/>
    <w:rsid w:val="00573BEC"/>
    <w:rsid w:val="006A3718"/>
    <w:rsid w:val="008E4137"/>
    <w:rsid w:val="00D05BEB"/>
    <w:rsid w:val="00F46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7A202"/>
  <w15:chartTrackingRefBased/>
  <w15:docId w15:val="{8C1DB144-DADC-4966-9EFC-C8450405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A3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3718"/>
    <w:rPr>
      <w:sz w:val="20"/>
      <w:szCs w:val="20"/>
    </w:rPr>
  </w:style>
  <w:style w:type="character" w:styleId="FootnoteReference">
    <w:name w:val="footnote reference"/>
    <w:basedOn w:val="DefaultParagraphFont"/>
    <w:uiPriority w:val="99"/>
    <w:semiHidden/>
    <w:unhideWhenUsed/>
    <w:rsid w:val="006A3718"/>
    <w:rPr>
      <w:vertAlign w:val="superscript"/>
    </w:rPr>
  </w:style>
  <w:style w:type="character" w:styleId="Emphasis">
    <w:name w:val="Emphasis"/>
    <w:basedOn w:val="DefaultParagraphFont"/>
    <w:uiPriority w:val="20"/>
    <w:qFormat/>
    <w:rsid w:val="00F460D2"/>
    <w:rPr>
      <w:i/>
      <w:iCs/>
    </w:rPr>
  </w:style>
  <w:style w:type="paragraph" w:styleId="NormalWeb">
    <w:name w:val="Normal (Web)"/>
    <w:basedOn w:val="Normal"/>
    <w:uiPriority w:val="99"/>
    <w:unhideWhenUsed/>
    <w:rsid w:val="00F460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F75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262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3A4FAF7-F548-4CF9-8CF9-2A13F7957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2021-06-19T20:44:00Z</dcterms:created>
  <dcterms:modified xsi:type="dcterms:W3CDTF">2021-06-19T21:39:00Z</dcterms:modified>
</cp:coreProperties>
</file>