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E2773" w14:textId="5B08E0DA" w:rsidR="00573BEC" w:rsidRDefault="00A07E07">
      <w:pPr>
        <w:rPr>
          <w:rFonts w:ascii="Times New Roman" w:hAnsi="Times New Roman" w:cs="Times New Roman"/>
          <w:sz w:val="24"/>
          <w:szCs w:val="24"/>
        </w:rPr>
      </w:pPr>
      <w:r w:rsidRPr="00974B09">
        <w:rPr>
          <w:rFonts w:ascii="Times New Roman" w:hAnsi="Times New Roman" w:cs="Times New Roman"/>
          <w:sz w:val="24"/>
          <w:szCs w:val="24"/>
        </w:rPr>
        <w:t>Tiffany,</w:t>
      </w:r>
    </w:p>
    <w:p w14:paraId="1C2B0180" w14:textId="3D7B2C4C" w:rsidR="00454EBB" w:rsidRPr="00454EBB" w:rsidRDefault="00454EBB" w:rsidP="00454EBB">
      <w:pPr>
        <w:spacing w:after="0" w:line="240" w:lineRule="auto"/>
        <w:rPr>
          <w:rFonts w:ascii="Times New Roman" w:eastAsia="Times New Roman" w:hAnsi="Times New Roman" w:cs="Times New Roman"/>
          <w:color w:val="0E101A"/>
          <w:sz w:val="24"/>
          <w:szCs w:val="24"/>
        </w:rPr>
      </w:pPr>
      <w:r w:rsidRPr="00454EBB">
        <w:rPr>
          <w:rFonts w:ascii="Times New Roman" w:eastAsia="Times New Roman" w:hAnsi="Times New Roman" w:cs="Times New Roman"/>
          <w:color w:val="0E101A"/>
          <w:sz w:val="24"/>
          <w:szCs w:val="24"/>
        </w:rPr>
        <w:t>I enjoyed reading your post. Thank you so much for succinctly explaining how prayers and the holy spirit help make the messy work of evangelism possible. Evangelism indeed is a process that God initiates and carries through to completion. Believers must therefore be careful not to quit before Christ accomplishes his purposes. To add to the analogy of farming that you mentioned, I also discovered that dealing with people and evangelism is messy because it means getting into spiritual warfare. The description that the Bible has for winning over people to Christ is seriously messy. It means war. For instance, Paul reminded Timothy, the pastor of the Ephesus church, that spiritual warfare is all about “rescuing those captured by the snare of the devil” (2 Tim.2:24-26).</w:t>
      </w:r>
      <w:r w:rsidR="007A4FB4">
        <w:rPr>
          <w:rStyle w:val="FootnoteReference"/>
          <w:rFonts w:ascii="Times New Roman" w:eastAsia="Times New Roman" w:hAnsi="Times New Roman" w:cs="Times New Roman"/>
          <w:bCs/>
          <w:sz w:val="24"/>
          <w:szCs w:val="24"/>
        </w:rPr>
        <w:footnoteReference w:id="1"/>
      </w:r>
      <w:r w:rsidR="007A4FB4">
        <w:rPr>
          <w:rFonts w:ascii="Times New Roman" w:eastAsia="Times New Roman" w:hAnsi="Times New Roman" w:cs="Times New Roman"/>
          <w:bCs/>
          <w:sz w:val="24"/>
          <w:szCs w:val="24"/>
        </w:rPr>
        <w:t xml:space="preserve"> </w:t>
      </w:r>
      <w:r w:rsidRPr="00454EBB">
        <w:rPr>
          <w:rFonts w:ascii="Times New Roman" w:eastAsia="Times New Roman" w:hAnsi="Times New Roman" w:cs="Times New Roman"/>
          <w:color w:val="0E101A"/>
          <w:sz w:val="24"/>
          <w:szCs w:val="24"/>
        </w:rPr>
        <w:t>Jude also mentions that it is about “pulling lost people from the fire” (Jude 22-23).</w:t>
      </w:r>
      <w:r w:rsidR="007A4FB4" w:rsidRPr="007A4FB4">
        <w:rPr>
          <w:rStyle w:val="FootnoteReference"/>
          <w:rFonts w:ascii="Times New Roman" w:eastAsia="Times New Roman" w:hAnsi="Times New Roman" w:cs="Times New Roman"/>
          <w:bCs/>
          <w:sz w:val="24"/>
          <w:szCs w:val="24"/>
        </w:rPr>
        <w:t xml:space="preserve"> </w:t>
      </w:r>
      <w:r w:rsidR="007A4FB4" w:rsidRPr="00974B09">
        <w:rPr>
          <w:rStyle w:val="FootnoteReference"/>
          <w:rFonts w:ascii="Times New Roman" w:eastAsia="Times New Roman" w:hAnsi="Times New Roman" w:cs="Times New Roman"/>
          <w:bCs/>
          <w:sz w:val="24"/>
          <w:szCs w:val="24"/>
        </w:rPr>
        <w:footnoteReference w:id="2"/>
      </w:r>
      <w:r w:rsidRPr="00454EBB">
        <w:rPr>
          <w:rFonts w:ascii="Times New Roman" w:eastAsia="Times New Roman" w:hAnsi="Times New Roman" w:cs="Times New Roman"/>
          <w:color w:val="0E101A"/>
          <w:sz w:val="24"/>
          <w:szCs w:val="24"/>
        </w:rPr>
        <w:t>  </w:t>
      </w:r>
    </w:p>
    <w:p w14:paraId="38E5407A" w14:textId="77777777" w:rsidR="00454EBB" w:rsidRPr="00454EBB" w:rsidRDefault="00454EBB" w:rsidP="00454EBB">
      <w:pPr>
        <w:spacing w:after="0" w:line="240" w:lineRule="auto"/>
        <w:rPr>
          <w:rFonts w:ascii="Times New Roman" w:eastAsia="Times New Roman" w:hAnsi="Times New Roman" w:cs="Times New Roman"/>
          <w:color w:val="0E101A"/>
          <w:sz w:val="24"/>
          <w:szCs w:val="24"/>
        </w:rPr>
      </w:pPr>
      <w:r w:rsidRPr="00454EBB">
        <w:rPr>
          <w:rFonts w:ascii="Times New Roman" w:eastAsia="Times New Roman" w:hAnsi="Times New Roman" w:cs="Times New Roman"/>
          <w:color w:val="0E101A"/>
          <w:sz w:val="24"/>
          <w:szCs w:val="24"/>
        </w:rPr>
        <w:t>That said, I found your testimony refreshing and also encouraging. I have heard people say, "God does not call the qualified. He qualifies the called." Reading your testimony of how God called you to his work in light of your fears attests to that. I pray that God will continue to let your ministry shine. </w:t>
      </w:r>
    </w:p>
    <w:p w14:paraId="4DE74BE8" w14:textId="78460DC6" w:rsidR="00454EBB" w:rsidRPr="00454EBB" w:rsidRDefault="00454EBB" w:rsidP="00454EBB">
      <w:pPr>
        <w:spacing w:after="0" w:line="240" w:lineRule="auto"/>
        <w:rPr>
          <w:rFonts w:ascii="Times New Roman" w:eastAsia="Times New Roman" w:hAnsi="Times New Roman" w:cs="Times New Roman"/>
          <w:color w:val="0E101A"/>
          <w:sz w:val="24"/>
          <w:szCs w:val="24"/>
        </w:rPr>
      </w:pPr>
      <w:r w:rsidRPr="00454EBB">
        <w:rPr>
          <w:rFonts w:ascii="Times New Roman" w:eastAsia="Times New Roman" w:hAnsi="Times New Roman" w:cs="Times New Roman"/>
          <w:color w:val="0E101A"/>
          <w:sz w:val="24"/>
          <w:szCs w:val="24"/>
        </w:rPr>
        <w:t>In closing, you quoted Dave Early saying that God’s weakness is people</w:t>
      </w:r>
      <w:r w:rsidR="007A4FB4">
        <w:rPr>
          <w:rFonts w:ascii="Times New Roman" w:eastAsia="Times New Roman" w:hAnsi="Times New Roman" w:cs="Times New Roman"/>
          <w:color w:val="0E101A"/>
          <w:sz w:val="24"/>
          <w:szCs w:val="24"/>
        </w:rPr>
        <w:t>.</w:t>
      </w:r>
      <w:r w:rsidR="007A4FB4" w:rsidRPr="00974B09">
        <w:rPr>
          <w:rStyle w:val="FootnoteReference"/>
          <w:rFonts w:ascii="Times New Roman" w:hAnsi="Times New Roman" w:cs="Times New Roman"/>
          <w:sz w:val="24"/>
          <w:szCs w:val="24"/>
        </w:rPr>
        <w:footnoteReference w:id="3"/>
      </w:r>
      <w:r w:rsidR="007A4FB4">
        <w:rPr>
          <w:rFonts w:ascii="Times New Roman" w:eastAsia="Times New Roman" w:hAnsi="Times New Roman" w:cs="Times New Roman"/>
          <w:color w:val="0E101A"/>
          <w:sz w:val="24"/>
          <w:szCs w:val="24"/>
        </w:rPr>
        <w:t xml:space="preserve"> </w:t>
      </w:r>
      <w:r w:rsidRPr="00454EBB">
        <w:rPr>
          <w:rFonts w:ascii="Times New Roman" w:eastAsia="Times New Roman" w:hAnsi="Times New Roman" w:cs="Times New Roman"/>
          <w:color w:val="0E101A"/>
          <w:sz w:val="24"/>
          <w:szCs w:val="24"/>
        </w:rPr>
        <w:t>I do not want to disagree with it though I think this could be a very controversial assertion. I doubt it sits well with a majority of Christians. I do not think God has a weakness. His attributes of omnipotence, omnipresence, and omniscience would not allow him to have one. </w:t>
      </w:r>
    </w:p>
    <w:p w14:paraId="7EA6EFBF" w14:textId="77777777" w:rsidR="00454EBB" w:rsidRPr="00974B09" w:rsidRDefault="00454EBB">
      <w:pPr>
        <w:rPr>
          <w:rFonts w:ascii="Times New Roman" w:hAnsi="Times New Roman" w:cs="Times New Roman"/>
          <w:sz w:val="24"/>
          <w:szCs w:val="24"/>
        </w:rPr>
      </w:pPr>
    </w:p>
    <w:p w14:paraId="706E2D3C" w14:textId="2C47D983" w:rsidR="00974B09" w:rsidRPr="00974B09" w:rsidRDefault="00974B09">
      <w:pPr>
        <w:rPr>
          <w:rFonts w:ascii="Times New Roman" w:hAnsi="Times New Roman" w:cs="Times New Roman"/>
          <w:b/>
          <w:bCs/>
          <w:sz w:val="24"/>
          <w:szCs w:val="24"/>
        </w:rPr>
      </w:pPr>
      <w:r w:rsidRPr="00974B09">
        <w:rPr>
          <w:rFonts w:ascii="Times New Roman" w:hAnsi="Times New Roman" w:cs="Times New Roman"/>
          <w:b/>
          <w:bCs/>
          <w:sz w:val="24"/>
          <w:szCs w:val="24"/>
        </w:rPr>
        <w:t>Bibliography</w:t>
      </w:r>
    </w:p>
    <w:p w14:paraId="7D23D0A4" w14:textId="77777777" w:rsidR="00974B09" w:rsidRPr="00974B09" w:rsidRDefault="00974B09" w:rsidP="00974B09">
      <w:pPr>
        <w:pStyle w:val="NormalWeb"/>
        <w:shd w:val="clear" w:color="auto" w:fill="FFFFFF"/>
        <w:spacing w:before="0" w:beforeAutospacing="0"/>
        <w:ind w:left="720" w:hanging="720"/>
        <w:rPr>
          <w:color w:val="212529"/>
        </w:rPr>
      </w:pPr>
      <w:r w:rsidRPr="00974B09">
        <w:t xml:space="preserve">Earley, Dave. “Spiritual Warfare.” In </w:t>
      </w:r>
      <w:r w:rsidRPr="00974B09">
        <w:rPr>
          <w:i/>
          <w:iCs/>
        </w:rPr>
        <w:t>Everyday Series: Evangelism</w:t>
      </w:r>
      <w:r w:rsidRPr="00974B09">
        <w:t>. Nashville: B&amp;H Publishing Group, 2016.</w:t>
      </w:r>
    </w:p>
    <w:p w14:paraId="62081B50" w14:textId="77777777" w:rsidR="00974B09" w:rsidRPr="00974B09" w:rsidRDefault="00974B09" w:rsidP="00974B09">
      <w:pPr>
        <w:pStyle w:val="NormalWeb"/>
        <w:shd w:val="clear" w:color="auto" w:fill="FFFFFF"/>
        <w:spacing w:before="0" w:beforeAutospacing="0"/>
        <w:ind w:left="720" w:hanging="720"/>
        <w:rPr>
          <w:color w:val="212529"/>
        </w:rPr>
      </w:pPr>
      <w:r w:rsidRPr="00974B09">
        <w:t xml:space="preserve">Earley, Dave. “This is War.” Lecture Notes in EVAN 525 </w:t>
      </w:r>
      <w:r w:rsidRPr="00974B09">
        <w:rPr>
          <w:color w:val="222222"/>
          <w:shd w:val="clear" w:color="auto" w:fill="FFFFFF"/>
        </w:rPr>
        <w:t>at Liberty University, Lynchburg, VA, June 15, 2021.</w:t>
      </w:r>
    </w:p>
    <w:p w14:paraId="5B70456A" w14:textId="77777777" w:rsidR="00974B09" w:rsidRPr="00974B09" w:rsidRDefault="00974B09">
      <w:pPr>
        <w:rPr>
          <w:rFonts w:ascii="Times New Roman" w:hAnsi="Times New Roman" w:cs="Times New Roman"/>
          <w:sz w:val="24"/>
          <w:szCs w:val="24"/>
        </w:rPr>
      </w:pPr>
    </w:p>
    <w:sectPr w:rsidR="00974B09" w:rsidRPr="00974B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E1947" w14:textId="77777777" w:rsidR="00DC653E" w:rsidRDefault="00DC653E" w:rsidP="00551242">
      <w:pPr>
        <w:spacing w:after="0" w:line="240" w:lineRule="auto"/>
      </w:pPr>
      <w:r>
        <w:separator/>
      </w:r>
    </w:p>
  </w:endnote>
  <w:endnote w:type="continuationSeparator" w:id="0">
    <w:p w14:paraId="25B96C49" w14:textId="77777777" w:rsidR="00DC653E" w:rsidRDefault="00DC653E" w:rsidP="00551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A4257" w14:textId="77777777" w:rsidR="00DC653E" w:rsidRDefault="00DC653E" w:rsidP="00551242">
      <w:pPr>
        <w:spacing w:after="0" w:line="240" w:lineRule="auto"/>
      </w:pPr>
      <w:r>
        <w:separator/>
      </w:r>
    </w:p>
  </w:footnote>
  <w:footnote w:type="continuationSeparator" w:id="0">
    <w:p w14:paraId="723B9DEC" w14:textId="77777777" w:rsidR="00DC653E" w:rsidRDefault="00DC653E" w:rsidP="00551242">
      <w:pPr>
        <w:spacing w:after="0" w:line="240" w:lineRule="auto"/>
      </w:pPr>
      <w:r>
        <w:continuationSeparator/>
      </w:r>
    </w:p>
  </w:footnote>
  <w:footnote w:id="1">
    <w:p w14:paraId="1F475BB1" w14:textId="77777777" w:rsidR="007A4FB4" w:rsidRDefault="007A4FB4" w:rsidP="007A4FB4">
      <w:pPr>
        <w:pStyle w:val="FootnoteText"/>
        <w:ind w:firstLine="720"/>
      </w:pPr>
      <w:r>
        <w:rPr>
          <w:rStyle w:val="FootnoteReference"/>
        </w:rPr>
        <w:footnoteRef/>
      </w:r>
      <w:r>
        <w:t xml:space="preserve"> </w:t>
      </w:r>
      <w:r w:rsidRPr="004B5D5D">
        <w:rPr>
          <w:rFonts w:ascii="Times New Roman" w:hAnsi="Times New Roman" w:cs="Times New Roman"/>
        </w:rPr>
        <w:t xml:space="preserve">Unless otherwise noted, all biblical passages referenced are in the </w:t>
      </w:r>
      <w:r w:rsidRPr="004B5D5D">
        <w:rPr>
          <w:rFonts w:ascii="Times New Roman" w:hAnsi="Times New Roman" w:cs="Times New Roman"/>
          <w:i/>
          <w:iCs/>
        </w:rPr>
        <w:t>New International Version</w:t>
      </w:r>
      <w:r w:rsidRPr="004B5D5D">
        <w:rPr>
          <w:rFonts w:ascii="Times New Roman" w:hAnsi="Times New Roman" w:cs="Times New Roman"/>
        </w:rPr>
        <w:t xml:space="preserve"> (Grand Rapids, MI: Zondervan, 2011).</w:t>
      </w:r>
    </w:p>
  </w:footnote>
  <w:footnote w:id="2">
    <w:p w14:paraId="004AD90A" w14:textId="77777777" w:rsidR="007A4FB4" w:rsidRPr="004B5D5D" w:rsidRDefault="007A4FB4" w:rsidP="007A4FB4">
      <w:pPr>
        <w:pStyle w:val="FootnoteText"/>
        <w:spacing w:before="240"/>
        <w:ind w:firstLine="720"/>
        <w:rPr>
          <w:rFonts w:ascii="Times New Roman" w:hAnsi="Times New Roman" w:cs="Times New Roman"/>
        </w:rPr>
      </w:pPr>
      <w:r>
        <w:rPr>
          <w:rStyle w:val="FootnoteReference"/>
        </w:rPr>
        <w:footnoteRef/>
      </w:r>
      <w:r>
        <w:t xml:space="preserve"> </w:t>
      </w:r>
      <w:r w:rsidRPr="004B5D5D">
        <w:rPr>
          <w:rFonts w:ascii="Times New Roman" w:hAnsi="Times New Roman" w:cs="Times New Roman"/>
        </w:rPr>
        <w:t xml:space="preserve">Dave Earley, “This is War” (Lecture Notes in EVAN 525 </w:t>
      </w:r>
      <w:r w:rsidRPr="004B5D5D">
        <w:rPr>
          <w:rFonts w:ascii="Times New Roman" w:hAnsi="Times New Roman" w:cs="Times New Roman"/>
          <w:color w:val="222222"/>
          <w:shd w:val="clear" w:color="auto" w:fill="FFFFFF"/>
        </w:rPr>
        <w:t>at Liberty University, Lynchburg, VA, June 15, 2021)</w:t>
      </w:r>
      <w:r w:rsidRPr="004B5D5D">
        <w:rPr>
          <w:rFonts w:ascii="Times New Roman" w:hAnsi="Times New Roman" w:cs="Times New Roman"/>
        </w:rPr>
        <w:t>.</w:t>
      </w:r>
    </w:p>
    <w:p w14:paraId="5274F2D4" w14:textId="77777777" w:rsidR="007A4FB4" w:rsidRDefault="007A4FB4" w:rsidP="007A4FB4">
      <w:pPr>
        <w:pStyle w:val="FootnoteText"/>
        <w:ind w:firstLine="720"/>
      </w:pPr>
    </w:p>
  </w:footnote>
  <w:footnote w:id="3">
    <w:p w14:paraId="2C217850" w14:textId="77777777" w:rsidR="007A4FB4" w:rsidRDefault="007A4FB4" w:rsidP="007A4FB4">
      <w:pPr>
        <w:pStyle w:val="FootnoteText"/>
        <w:ind w:firstLine="720"/>
      </w:pPr>
      <w:r>
        <w:rPr>
          <w:rStyle w:val="FootnoteReference"/>
        </w:rPr>
        <w:footnoteRef/>
      </w:r>
      <w:r>
        <w:t xml:space="preserve"> </w:t>
      </w:r>
      <w:r w:rsidRPr="004B5D5D">
        <w:rPr>
          <w:rFonts w:ascii="Times New Roman" w:hAnsi="Times New Roman" w:cs="Times New Roman"/>
        </w:rPr>
        <w:t xml:space="preserve">Dave Earley, “Spiritual Warfare.” In </w:t>
      </w:r>
      <w:r w:rsidRPr="004B5D5D">
        <w:rPr>
          <w:rFonts w:ascii="Times New Roman" w:hAnsi="Times New Roman" w:cs="Times New Roman"/>
          <w:i/>
          <w:iCs/>
        </w:rPr>
        <w:t>Everyday Series: Evangelism</w:t>
      </w:r>
      <w:r w:rsidRPr="004B5D5D">
        <w:rPr>
          <w:rFonts w:ascii="Times New Roman" w:hAnsi="Times New Roman" w:cs="Times New Roman"/>
        </w:rPr>
        <w:t>, (Nashville: B&amp;H Publishing Group, 2016), 15</w:t>
      </w:r>
      <w:r>
        <w:rPr>
          <w:rFonts w:ascii="Times New Roman" w:hAnsi="Times New Roman" w:cs="Times New Roman"/>
        </w:rPr>
        <w:t>4</w:t>
      </w:r>
      <w:r w:rsidRPr="004B5D5D">
        <w:rPr>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E07"/>
    <w:rsid w:val="003207EB"/>
    <w:rsid w:val="00454EBB"/>
    <w:rsid w:val="00551242"/>
    <w:rsid w:val="00573BEC"/>
    <w:rsid w:val="007A4FB4"/>
    <w:rsid w:val="00974B09"/>
    <w:rsid w:val="00A07E07"/>
    <w:rsid w:val="00DC653E"/>
    <w:rsid w:val="00DF0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721A9"/>
  <w15:chartTrackingRefBased/>
  <w15:docId w15:val="{19E53E4D-A379-4F10-86F6-6D2C6F4E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512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1242"/>
    <w:rPr>
      <w:sz w:val="20"/>
      <w:szCs w:val="20"/>
    </w:rPr>
  </w:style>
  <w:style w:type="character" w:styleId="FootnoteReference">
    <w:name w:val="footnote reference"/>
    <w:basedOn w:val="DefaultParagraphFont"/>
    <w:uiPriority w:val="99"/>
    <w:semiHidden/>
    <w:unhideWhenUsed/>
    <w:rsid w:val="00551242"/>
    <w:rPr>
      <w:vertAlign w:val="superscript"/>
    </w:rPr>
  </w:style>
  <w:style w:type="paragraph" w:styleId="NormalWeb">
    <w:name w:val="Normal (Web)"/>
    <w:basedOn w:val="Normal"/>
    <w:uiPriority w:val="99"/>
    <w:unhideWhenUsed/>
    <w:rsid w:val="00974B0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54E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73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84897D3-7421-4C88-9929-C3FF61AC8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2021-06-19T19:30:00Z</dcterms:created>
  <dcterms:modified xsi:type="dcterms:W3CDTF">2021-06-19T20:43:00Z</dcterms:modified>
</cp:coreProperties>
</file>