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BC325" w14:textId="77777777" w:rsidR="00F85F2C" w:rsidRDefault="00F85F2C" w:rsidP="00F85F2C">
      <w:pPr>
        <w:pStyle w:val="NormalWeb"/>
        <w:spacing w:before="0" w:beforeAutospacing="0" w:after="0" w:afterAutospacing="0"/>
        <w:rPr>
          <w:color w:val="0E101A"/>
        </w:rPr>
      </w:pPr>
      <w:r>
        <w:rPr>
          <w:color w:val="0E101A"/>
        </w:rPr>
        <w:t>Don,</w:t>
      </w:r>
    </w:p>
    <w:p w14:paraId="7D7A3130" w14:textId="34AFBC86" w:rsidR="00F85F2C" w:rsidRDefault="00F85F2C" w:rsidP="00F85F2C">
      <w:pPr>
        <w:pStyle w:val="NormalWeb"/>
        <w:spacing w:before="0" w:beforeAutospacing="0" w:after="0" w:afterAutospacing="0"/>
        <w:rPr>
          <w:color w:val="0E101A"/>
        </w:rPr>
      </w:pPr>
      <w:r>
        <w:rPr>
          <w:color w:val="0E101A"/>
        </w:rPr>
        <w:t>Thanks for concisely bringing the balance between informational and incarnational approaches. One of the things that stood out for me in your thread is your conviction to pull out whatever “approach” or tool you need to get the gospel to the unbeliever. I could not have said it better. Paul says, “I have become all things to all people so that by all possible means I might save some.” Some people are drawn more to Christianity by our preaching, others by our conduct. Wise Christians would be found in both approaches so that they can win unbelievers to Christ. David Wheeler’s article </w:t>
      </w:r>
      <w:r>
        <w:rPr>
          <w:rStyle w:val="Emphasis"/>
          <w:color w:val="0E101A"/>
        </w:rPr>
        <w:t>incarnational apologetics </w:t>
      </w:r>
      <w:r>
        <w:rPr>
          <w:color w:val="0E101A"/>
        </w:rPr>
        <w:t>mentioned a testimony of a Muslim who converted to Christianity. He says that when the Muslim friend converted to Christianity, he communicated that it was not the great arguments of traditional “informational” apologetics that finally drew him to examine the claims of Christ. On the contrary, it was the consistent caring actions of a high school friend who lived out a “resurrected” life before him.</w:t>
      </w:r>
      <w:r>
        <w:rPr>
          <w:rStyle w:val="FootnoteReference"/>
        </w:rPr>
        <w:footnoteReference w:id="1"/>
      </w:r>
      <w:r>
        <w:rPr>
          <w:color w:val="0E101A"/>
        </w:rPr>
        <w:t> Some years ago, this woman came complaining about her husband. I asked her to bring him</w:t>
      </w:r>
      <w:r>
        <w:rPr>
          <w:color w:val="0E101A"/>
        </w:rPr>
        <w:t xml:space="preserve"> for counseling</w:t>
      </w:r>
      <w:r>
        <w:rPr>
          <w:color w:val="0E101A"/>
        </w:rPr>
        <w:t xml:space="preserve"> to sort out the issue that was going on in their marriage. When they came, the issue came out as the husband never told his wife he loved her. The man claimed he provided for the family, and he did everything for the wife out of love. Unfortunately, the woman felt unloved because he never said he loved her hence the misunderstanding. This brief counseling moment taught me how affirmation and actions are both essential. Similarly, we cannot choose proclamation over affirmation. Both are needful. </w:t>
      </w:r>
    </w:p>
    <w:p w14:paraId="272ED6A3" w14:textId="77777777" w:rsidR="00F85F2C" w:rsidRDefault="00F85F2C" w:rsidP="00F85F2C">
      <w:pPr>
        <w:pStyle w:val="NormalWeb"/>
        <w:spacing w:before="0" w:beforeAutospacing="0" w:after="0" w:afterAutospacing="0"/>
        <w:rPr>
          <w:color w:val="0E101A"/>
        </w:rPr>
      </w:pPr>
    </w:p>
    <w:p w14:paraId="099A18C1" w14:textId="5B88996D" w:rsidR="00F85F2C" w:rsidRPr="0043439A" w:rsidRDefault="00F85F2C" w:rsidP="00F85F2C">
      <w:pPr>
        <w:rPr>
          <w:rFonts w:ascii="Segoe UI" w:hAnsi="Segoe UI" w:cs="Segoe UI"/>
          <w:color w:val="000000"/>
          <w:shd w:val="clear" w:color="auto" w:fill="FFFFFF"/>
        </w:rPr>
      </w:pPr>
      <w:r>
        <w:t>(29</w:t>
      </w:r>
      <w:r>
        <w:t>3</w:t>
      </w:r>
      <w:r>
        <w:t xml:space="preserve"> Words)) </w:t>
      </w:r>
    </w:p>
    <w:p w14:paraId="7D870291" w14:textId="77777777" w:rsidR="00F85F2C" w:rsidRDefault="00F85F2C"/>
    <w:sectPr w:rsidR="00F85F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2ECBC" w14:textId="77777777" w:rsidR="00B06C6F" w:rsidRDefault="00B06C6F" w:rsidP="00631097">
      <w:pPr>
        <w:spacing w:after="0" w:line="240" w:lineRule="auto"/>
      </w:pPr>
      <w:r>
        <w:separator/>
      </w:r>
    </w:p>
  </w:endnote>
  <w:endnote w:type="continuationSeparator" w:id="0">
    <w:p w14:paraId="2E8976BB" w14:textId="77777777" w:rsidR="00B06C6F" w:rsidRDefault="00B06C6F" w:rsidP="00631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2C7AA" w14:textId="77777777" w:rsidR="00B06C6F" w:rsidRDefault="00B06C6F" w:rsidP="00631097">
      <w:pPr>
        <w:spacing w:after="0" w:line="240" w:lineRule="auto"/>
      </w:pPr>
      <w:r>
        <w:separator/>
      </w:r>
    </w:p>
  </w:footnote>
  <w:footnote w:type="continuationSeparator" w:id="0">
    <w:p w14:paraId="3374C3C7" w14:textId="77777777" w:rsidR="00B06C6F" w:rsidRDefault="00B06C6F" w:rsidP="00631097">
      <w:pPr>
        <w:spacing w:after="0" w:line="240" w:lineRule="auto"/>
      </w:pPr>
      <w:r>
        <w:continuationSeparator/>
      </w:r>
    </w:p>
  </w:footnote>
  <w:footnote w:id="1">
    <w:p w14:paraId="4B60E366" w14:textId="77777777" w:rsidR="00F85F2C" w:rsidRDefault="00F85F2C" w:rsidP="00F85F2C">
      <w:pPr>
        <w:pStyle w:val="FootnoteText"/>
      </w:pPr>
      <w:r>
        <w:rPr>
          <w:rStyle w:val="FootnoteReference"/>
        </w:rPr>
        <w:footnoteRef/>
      </w:r>
      <w:r>
        <w:t xml:space="preserve"> </w:t>
      </w:r>
      <w:r>
        <w:rPr>
          <w:rFonts w:ascii="Times New Roman" w:hAnsi="Times New Roman" w:cs="Times New Roman"/>
        </w:rPr>
        <w:t>David Wheeler</w:t>
      </w:r>
      <w:r w:rsidRPr="004B5D5D">
        <w:rPr>
          <w:rFonts w:ascii="Times New Roman" w:hAnsi="Times New Roman" w:cs="Times New Roman"/>
        </w:rPr>
        <w:t>, “</w:t>
      </w:r>
      <w:r w:rsidRPr="00135C26">
        <w:rPr>
          <w:rFonts w:ascii="Times New Roman" w:hAnsi="Times New Roman" w:cs="Times New Roman"/>
        </w:rPr>
        <w:t>Embracing Incarnational Christianity as a Lifestyle Evangelist</w:t>
      </w:r>
      <w:r w:rsidRPr="004B5D5D">
        <w:rPr>
          <w:rFonts w:ascii="Times New Roman" w:hAnsi="Times New Roman" w:cs="Times New Roman"/>
        </w:rPr>
        <w:t xml:space="preserve">” (Lecture Notes in EVAN 525 </w:t>
      </w:r>
      <w:r w:rsidRPr="004B5D5D">
        <w:rPr>
          <w:rFonts w:ascii="Times New Roman" w:hAnsi="Times New Roman" w:cs="Times New Roman"/>
          <w:color w:val="222222"/>
          <w:shd w:val="clear" w:color="auto" w:fill="FFFFFF"/>
        </w:rPr>
        <w:t xml:space="preserve">at Liberty University, Lynchburg, VA, June </w:t>
      </w:r>
      <w:r>
        <w:rPr>
          <w:rFonts w:ascii="Times New Roman" w:hAnsi="Times New Roman" w:cs="Times New Roman"/>
          <w:color w:val="222222"/>
          <w:shd w:val="clear" w:color="auto" w:fill="FFFFFF"/>
        </w:rPr>
        <w:t>22</w:t>
      </w:r>
      <w:r w:rsidRPr="004B5D5D">
        <w:rPr>
          <w:rFonts w:ascii="Times New Roman" w:hAnsi="Times New Roman" w:cs="Times New Roman"/>
          <w:color w:val="222222"/>
          <w:shd w:val="clear" w:color="auto" w:fill="FFFFFF"/>
        </w:rPr>
        <w:t>, 2021)</w:t>
      </w:r>
      <w:r w:rsidRPr="004B5D5D">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9A"/>
    <w:rsid w:val="0043439A"/>
    <w:rsid w:val="00631097"/>
    <w:rsid w:val="00834135"/>
    <w:rsid w:val="00A1264F"/>
    <w:rsid w:val="00B06C6F"/>
    <w:rsid w:val="00F8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2AA46"/>
  <w15:chartTrackingRefBased/>
  <w15:docId w15:val="{94757A9E-D333-4DFB-84FB-2896FBF41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310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1097"/>
    <w:rPr>
      <w:sz w:val="20"/>
      <w:szCs w:val="20"/>
    </w:rPr>
  </w:style>
  <w:style w:type="character" w:styleId="FootnoteReference">
    <w:name w:val="footnote reference"/>
    <w:basedOn w:val="DefaultParagraphFont"/>
    <w:uiPriority w:val="99"/>
    <w:semiHidden/>
    <w:unhideWhenUsed/>
    <w:rsid w:val="00631097"/>
    <w:rPr>
      <w:vertAlign w:val="superscript"/>
    </w:rPr>
  </w:style>
  <w:style w:type="paragraph" w:styleId="NormalWeb">
    <w:name w:val="Normal (Web)"/>
    <w:basedOn w:val="Normal"/>
    <w:uiPriority w:val="99"/>
    <w:semiHidden/>
    <w:unhideWhenUsed/>
    <w:rsid w:val="00F85F2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5F2C"/>
    <w:rPr>
      <w:i/>
      <w:iCs/>
    </w:rPr>
  </w:style>
  <w:style w:type="character" w:styleId="Hyperlink">
    <w:name w:val="Hyperlink"/>
    <w:basedOn w:val="DefaultParagraphFont"/>
    <w:uiPriority w:val="99"/>
    <w:semiHidden/>
    <w:unhideWhenUsed/>
    <w:rsid w:val="00F85F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6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2021-06-27T12:57:00Z</dcterms:created>
  <dcterms:modified xsi:type="dcterms:W3CDTF">2021-06-27T21:21:00Z</dcterms:modified>
</cp:coreProperties>
</file>