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EAE6C" w14:textId="6ED37537" w:rsidR="0068615A" w:rsidRDefault="00F258A2">
      <w:pPr>
        <w:rPr>
          <w:rFonts w:ascii="Times New Roman" w:hAnsi="Times New Roman" w:cs="Times New Roman"/>
          <w:b/>
          <w:bCs/>
          <w:sz w:val="24"/>
          <w:szCs w:val="24"/>
        </w:rPr>
      </w:pPr>
      <w:r w:rsidRPr="00044716">
        <w:rPr>
          <w:rFonts w:ascii="Times New Roman" w:hAnsi="Times New Roman" w:cs="Times New Roman"/>
          <w:b/>
          <w:bCs/>
          <w:sz w:val="24"/>
          <w:szCs w:val="24"/>
        </w:rPr>
        <w:t>Discussion Thread: Evangelism and the Gospel</w:t>
      </w:r>
    </w:p>
    <w:p w14:paraId="251B3D29" w14:textId="1AE3EBB4" w:rsidR="0080072D" w:rsidRDefault="0080072D" w:rsidP="00F839AE">
      <w:pPr>
        <w:pStyle w:val="NormalWeb"/>
        <w:spacing w:before="240" w:beforeAutospacing="0" w:after="0" w:afterAutospacing="0"/>
        <w:rPr>
          <w:color w:val="0E101A"/>
        </w:rPr>
      </w:pPr>
      <w:r>
        <w:rPr>
          <w:color w:val="0E101A"/>
        </w:rPr>
        <w:t>In a postmodern era, full of all manner of religious pluralism, perhaps the most important question that Christians must ask themselves is: What is the gospel? Second, what are the essential elements of that gospel? Will McRaney notes, "The answers to these questions are important in a pluralistic society."</w:t>
      </w:r>
      <w:r w:rsidRPr="0080072D">
        <w:rPr>
          <w:rStyle w:val="FootnoteReference"/>
        </w:rPr>
        <w:t xml:space="preserve"> </w:t>
      </w:r>
      <w:r>
        <w:rPr>
          <w:rStyle w:val="FootnoteReference"/>
        </w:rPr>
        <w:footnoteReference w:id="1"/>
      </w:r>
      <w:r>
        <w:rPr>
          <w:color w:val="0E101A"/>
        </w:rPr>
        <w:t> This discussion thread explores the essentials of the gospel, my view on evangelism, and the impact the course material has on my perspective on evangelism.</w:t>
      </w:r>
    </w:p>
    <w:p w14:paraId="210622B7" w14:textId="77777777" w:rsidR="0080072D" w:rsidRDefault="0080072D" w:rsidP="00F839AE">
      <w:pPr>
        <w:pStyle w:val="NormalWeb"/>
        <w:spacing w:before="240" w:beforeAutospacing="0" w:after="0" w:afterAutospacing="0"/>
        <w:rPr>
          <w:color w:val="0E101A"/>
        </w:rPr>
      </w:pPr>
      <w:r>
        <w:rPr>
          <w:rStyle w:val="Strong"/>
          <w:color w:val="0E101A"/>
        </w:rPr>
        <w:t>Essentials of the Gospel</w:t>
      </w:r>
    </w:p>
    <w:p w14:paraId="5970E122" w14:textId="77777777" w:rsidR="00F839AE" w:rsidRDefault="0080072D" w:rsidP="00F839AE">
      <w:pPr>
        <w:pStyle w:val="NormalWeb"/>
        <w:spacing w:before="240" w:beforeAutospacing="0" w:after="0" w:afterAutospacing="0"/>
        <w:rPr>
          <w:color w:val="0E101A"/>
        </w:rPr>
      </w:pPr>
      <w:r>
        <w:rPr>
          <w:color w:val="0E101A"/>
        </w:rPr>
        <w:t>First and foremost, it is crucial to define the term “gospel.” The word gospel originates from the Greek word </w:t>
      </w:r>
      <w:r>
        <w:rPr>
          <w:rStyle w:val="Emphasis"/>
          <w:color w:val="0E101A"/>
        </w:rPr>
        <w:t>evangelion.</w:t>
      </w:r>
      <w:r>
        <w:rPr>
          <w:color w:val="0E101A"/>
        </w:rPr>
        <w:t> According to Mounce, the initial usage of the word was rarely in the sense of good tidings. Rather, it always occurred in the plural and generally referred to sacrifices or thank offerings made in behalf of good tidings.</w:t>
      </w:r>
      <w:r w:rsidRPr="0080072D">
        <w:rPr>
          <w:rStyle w:val="FootnoteReference"/>
        </w:rPr>
        <w:t xml:space="preserve"> </w:t>
      </w:r>
      <w:r>
        <w:rPr>
          <w:rStyle w:val="FootnoteReference"/>
        </w:rPr>
        <w:footnoteReference w:id="2"/>
      </w:r>
      <w:r>
        <w:rPr>
          <w:color w:val="0E101A"/>
        </w:rPr>
        <w:t xml:space="preserve"> Nonetheless, in the New Testament, the usage of the word metamorphosed to mean "the glad news that </w:t>
      </w:r>
      <w:proofErr w:type="gramStart"/>
      <w:r>
        <w:rPr>
          <w:color w:val="0E101A"/>
        </w:rPr>
        <w:t>tells</w:t>
      </w:r>
      <w:proofErr w:type="gramEnd"/>
      <w:r>
        <w:rPr>
          <w:color w:val="0E101A"/>
        </w:rPr>
        <w:t xml:space="preserve"> about Jesus Christ.”</w:t>
      </w:r>
      <w:r w:rsidRPr="0080072D">
        <w:rPr>
          <w:rStyle w:val="FootnoteReference"/>
        </w:rPr>
        <w:t xml:space="preserve"> </w:t>
      </w:r>
      <w:r>
        <w:rPr>
          <w:rStyle w:val="FootnoteReference"/>
        </w:rPr>
        <w:footnoteReference w:id="3"/>
      </w:r>
      <w:r>
        <w:rPr>
          <w:color w:val="0E101A"/>
        </w:rPr>
        <w:t> Ever since many scholars have tried to define the gospel in similar lines. For instance, Will McRaney says, “The Gospel is not only the Good News about Jesus Christ. Jesus Christ is the Gospel.”</w:t>
      </w:r>
      <w:r>
        <w:rPr>
          <w:rStyle w:val="FootnoteReference"/>
        </w:rPr>
        <w:footnoteReference w:id="4"/>
      </w:r>
      <w:r>
        <w:rPr>
          <w:color w:val="0E101A"/>
        </w:rPr>
        <w:t xml:space="preserve"> David Wheeler </w:t>
      </w:r>
      <w:r w:rsidR="00F839AE">
        <w:rPr>
          <w:color w:val="0E101A"/>
        </w:rPr>
        <w:t xml:space="preserve">adds, “The </w:t>
      </w:r>
      <w:r>
        <w:rPr>
          <w:color w:val="0E101A"/>
        </w:rPr>
        <w:t xml:space="preserve">gospel </w:t>
      </w:r>
      <w:r w:rsidR="00F839AE">
        <w:rPr>
          <w:color w:val="0E101A"/>
        </w:rPr>
        <w:t>is</w:t>
      </w:r>
      <w:r>
        <w:rPr>
          <w:color w:val="0E101A"/>
        </w:rPr>
        <w:t xml:space="preserve"> the death, burial, and resurrection of Jesus Christ.</w:t>
      </w:r>
      <w:r w:rsidR="00F839AE">
        <w:rPr>
          <w:color w:val="0E101A"/>
        </w:rPr>
        <w:t>”</w:t>
      </w:r>
      <w:r>
        <w:rPr>
          <w:rStyle w:val="FootnoteReference"/>
        </w:rPr>
        <w:footnoteReference w:id="5"/>
      </w:r>
      <w:r>
        <w:rPr>
          <w:color w:val="0E101A"/>
        </w:rPr>
        <w:t> Elwell similarly notes, “The gospel is the joyous proclamation of God's redemptive activity in Christ Jesus on behalf of humans enslaved by sin.”</w:t>
      </w:r>
      <w:r w:rsidRPr="0080072D">
        <w:rPr>
          <w:rStyle w:val="FootnoteReference"/>
        </w:rPr>
        <w:t xml:space="preserve"> </w:t>
      </w:r>
      <w:r>
        <w:rPr>
          <w:rStyle w:val="FootnoteReference"/>
        </w:rPr>
        <w:footnoteReference w:id="6"/>
      </w:r>
      <w:r>
        <w:rPr>
          <w:color w:val="0E101A"/>
        </w:rPr>
        <w:t> </w:t>
      </w:r>
      <w:r w:rsidR="00F839AE">
        <w:rPr>
          <w:color w:val="0E101A"/>
        </w:rPr>
        <w:t xml:space="preserve">In </w:t>
      </w:r>
      <w:r w:rsidR="00F839AE">
        <w:rPr>
          <w:color w:val="0E101A"/>
        </w:rPr>
        <w:t>a nutshell</w:t>
      </w:r>
      <w:r w:rsidR="00F839AE">
        <w:rPr>
          <w:color w:val="0E101A"/>
        </w:rPr>
        <w:t>, the content of the gospel is Jesus; what he did, what he is doing, and what he will do</w:t>
      </w:r>
      <w:r w:rsidR="00F839AE">
        <w:rPr>
          <w:color w:val="0E101A"/>
        </w:rPr>
        <w:t xml:space="preserve">. </w:t>
      </w:r>
    </w:p>
    <w:p w14:paraId="43D5D4CF" w14:textId="67838047" w:rsidR="0080072D" w:rsidRDefault="00F839AE" w:rsidP="00F839AE">
      <w:pPr>
        <w:pStyle w:val="NormalWeb"/>
        <w:spacing w:before="240" w:beforeAutospacing="0" w:after="0" w:afterAutospacing="0"/>
        <w:rPr>
          <w:color w:val="0E101A"/>
        </w:rPr>
      </w:pPr>
      <w:r>
        <w:rPr>
          <w:color w:val="0E101A"/>
        </w:rPr>
        <w:t>To</w:t>
      </w:r>
      <w:r w:rsidR="0080072D">
        <w:rPr>
          <w:color w:val="0E101A"/>
        </w:rPr>
        <w:t xml:space="preserve"> this regard, therefore, there are about three main essential components of the gospel. The first is salvation. McCloskey defines salvation as "the divine act whereby a person is given a spiritual status change through his deliverance from the kingdom of darkness and his transferal into the safety and blessing of the kingdom of Jesus Christ.”</w:t>
      </w:r>
      <w:r w:rsidR="0080072D" w:rsidRPr="0080072D">
        <w:rPr>
          <w:rStyle w:val="FootnoteReference"/>
        </w:rPr>
        <w:t xml:space="preserve"> </w:t>
      </w:r>
      <w:r w:rsidR="0080072D">
        <w:rPr>
          <w:rStyle w:val="FootnoteReference"/>
        </w:rPr>
        <w:footnoteReference w:id="7"/>
      </w:r>
      <w:r w:rsidR="0080072D">
        <w:rPr>
          <w:color w:val="0E101A"/>
        </w:rPr>
        <w:t xml:space="preserve">  This process entails a sinner repenting of his or her sins and surrendering to the Lordship of Jesus Christ. To repent means to make an </w:t>
      </w:r>
      <w:r w:rsidR="0080072D">
        <w:rPr>
          <w:color w:val="0E101A"/>
        </w:rPr>
        <w:lastRenderedPageBreak/>
        <w:t xml:space="preserve">about-turn of the direction an individual was taking. </w:t>
      </w:r>
      <w:r>
        <w:rPr>
          <w:color w:val="0E101A"/>
        </w:rPr>
        <w:t>T</w:t>
      </w:r>
      <w:r w:rsidR="0080072D">
        <w:rPr>
          <w:color w:val="0E101A"/>
        </w:rPr>
        <w:t>he believer is to turn to God so that their sins may be wiped out. (Acts 3:19-20, NIV).</w:t>
      </w:r>
      <w:r w:rsidR="0080072D">
        <w:rPr>
          <w:rStyle w:val="FootnoteReference"/>
        </w:rPr>
        <w:footnoteReference w:id="8"/>
      </w:r>
      <w:r w:rsidR="0080072D">
        <w:rPr>
          <w:color w:val="0E101A"/>
        </w:rPr>
        <w:t> </w:t>
      </w:r>
    </w:p>
    <w:p w14:paraId="7D51E4AF" w14:textId="2FA00DA4" w:rsidR="0080072D" w:rsidRDefault="0080072D" w:rsidP="00F839AE">
      <w:pPr>
        <w:pStyle w:val="NormalWeb"/>
        <w:spacing w:before="240" w:beforeAutospacing="0" w:after="0" w:afterAutospacing="0"/>
        <w:rPr>
          <w:color w:val="0E101A"/>
        </w:rPr>
      </w:pPr>
      <w:r>
        <w:rPr>
          <w:color w:val="0E101A"/>
        </w:rPr>
        <w:t>Another essential of the gospel is man’s need. Though the gospel is Christ’s show, it is also about ministering to man’s needs. To put it succinctly, it is Christ’s show for mankind. All mankind has sinned (Rom 3:23) and needs a Savior. McRaney observes, “Our need is for a Savior to take away the guilt and shame that sin has brought into our lives.”</w:t>
      </w:r>
      <w:r w:rsidRPr="0080072D">
        <w:rPr>
          <w:rStyle w:val="FootnoteReference"/>
        </w:rPr>
        <w:t xml:space="preserve"> </w:t>
      </w:r>
      <w:r>
        <w:rPr>
          <w:rStyle w:val="FootnoteReference"/>
        </w:rPr>
        <w:footnoteReference w:id="9"/>
      </w:r>
    </w:p>
    <w:p w14:paraId="49BF0576" w14:textId="50C63ECA" w:rsidR="0080072D" w:rsidRDefault="0080072D" w:rsidP="00F839AE">
      <w:pPr>
        <w:pStyle w:val="NormalWeb"/>
        <w:spacing w:before="240" w:beforeAutospacing="0" w:after="0" w:afterAutospacing="0"/>
        <w:rPr>
          <w:color w:val="0E101A"/>
        </w:rPr>
      </w:pPr>
      <w:r>
        <w:rPr>
          <w:color w:val="0E101A"/>
        </w:rPr>
        <w:t>An additional essential of the gospel is Christ’s crucifixion. As mentioned earlier, the gospel stands for good news. This good news refers to the love that God has for us that he sent his only begotten son into the world to die on the cross for our sins. Sin had alienated us from God (Cf. Col 1:21, Isa 59:2) but the good news is that Christ’s death on the cross ha</w:t>
      </w:r>
      <w:r w:rsidR="00F839AE">
        <w:rPr>
          <w:color w:val="0E101A"/>
        </w:rPr>
        <w:t>s</w:t>
      </w:r>
      <w:r>
        <w:rPr>
          <w:color w:val="0E101A"/>
        </w:rPr>
        <w:t xml:space="preserve"> made it possible for us to be reconciled to God. Christ died not because he sinned but because we sinned. His death on the cross was to pay the penalty of sin that we would otherwise have paid.</w:t>
      </w:r>
    </w:p>
    <w:p w14:paraId="40414B52" w14:textId="2CAA717F" w:rsidR="0080072D" w:rsidRDefault="0080072D" w:rsidP="00F839AE">
      <w:pPr>
        <w:pStyle w:val="NormalWeb"/>
        <w:spacing w:before="240" w:beforeAutospacing="0" w:after="0" w:afterAutospacing="0"/>
        <w:rPr>
          <w:color w:val="0E101A"/>
        </w:rPr>
      </w:pPr>
      <w:r>
        <w:rPr>
          <w:color w:val="0E101A"/>
        </w:rPr>
        <w:t>Finally, resurrection is another important component of the gospel. Speaking on the resurrection of Jesus, McRaney asserts, “The resurrection is the single most important physical event and spiritual reality that has ever occurred in history.”</w:t>
      </w:r>
      <w:r>
        <w:rPr>
          <w:rStyle w:val="FootnoteReference"/>
        </w:rPr>
        <w:footnoteReference w:id="10"/>
      </w:r>
      <w:r>
        <w:rPr>
          <w:color w:val="0E101A"/>
        </w:rPr>
        <w:t xml:space="preserve"> The reason is that it validated all that Jesus Christ said and was. Had he not been resurrected nobody would have taken his message seriously. One of the thieves on the cross had already taunted him for not rescuing himself from the </w:t>
      </w:r>
      <w:r w:rsidR="00F839AE">
        <w:rPr>
          <w:color w:val="0E101A"/>
        </w:rPr>
        <w:t>cross</w:t>
      </w:r>
      <w:r>
        <w:rPr>
          <w:color w:val="0E101A"/>
        </w:rPr>
        <w:t xml:space="preserve"> (Cf. Mt 27:40). The resurrection of Jesus Christ</w:t>
      </w:r>
      <w:r w:rsidR="00F839AE">
        <w:rPr>
          <w:color w:val="0E101A"/>
        </w:rPr>
        <w:t xml:space="preserve"> proved a point-that he was the Messiah. Besides, it</w:t>
      </w:r>
      <w:r>
        <w:rPr>
          <w:color w:val="0E101A"/>
        </w:rPr>
        <w:t xml:space="preserve"> g</w:t>
      </w:r>
      <w:r w:rsidR="00F839AE">
        <w:rPr>
          <w:color w:val="0E101A"/>
        </w:rPr>
        <w:t>ave</w:t>
      </w:r>
      <w:r>
        <w:rPr>
          <w:color w:val="0E101A"/>
        </w:rPr>
        <w:t xml:space="preserve"> believers </w:t>
      </w:r>
      <w:r w:rsidR="00F839AE">
        <w:rPr>
          <w:color w:val="0E101A"/>
        </w:rPr>
        <w:t xml:space="preserve">eternal </w:t>
      </w:r>
      <w:r>
        <w:rPr>
          <w:color w:val="0E101A"/>
        </w:rPr>
        <w:t>hope. Believers c</w:t>
      </w:r>
      <w:r w:rsidR="00F839AE">
        <w:rPr>
          <w:color w:val="0E101A"/>
        </w:rPr>
        <w:t>ould now</w:t>
      </w:r>
      <w:r>
        <w:rPr>
          <w:color w:val="0E101A"/>
        </w:rPr>
        <w:t xml:space="preserve"> rest assured that if they die</w:t>
      </w:r>
      <w:r w:rsidR="00F839AE">
        <w:rPr>
          <w:color w:val="0E101A"/>
        </w:rPr>
        <w:t>d</w:t>
      </w:r>
      <w:r>
        <w:rPr>
          <w:color w:val="0E101A"/>
        </w:rPr>
        <w:t>, they w</w:t>
      </w:r>
      <w:r w:rsidR="00F839AE">
        <w:rPr>
          <w:color w:val="0E101A"/>
        </w:rPr>
        <w:t>ould</w:t>
      </w:r>
      <w:r>
        <w:rPr>
          <w:color w:val="0E101A"/>
        </w:rPr>
        <w:t xml:space="preserve"> rise again. Death ha</w:t>
      </w:r>
      <w:r w:rsidR="00F839AE">
        <w:rPr>
          <w:color w:val="0E101A"/>
        </w:rPr>
        <w:t>d</w:t>
      </w:r>
      <w:r>
        <w:rPr>
          <w:color w:val="0E101A"/>
        </w:rPr>
        <w:t xml:space="preserve"> no grip on them. </w:t>
      </w:r>
    </w:p>
    <w:p w14:paraId="23F35F42" w14:textId="77777777" w:rsidR="0080072D" w:rsidRDefault="0080072D" w:rsidP="00F839AE">
      <w:pPr>
        <w:pStyle w:val="NormalWeb"/>
        <w:spacing w:before="240" w:beforeAutospacing="0" w:after="0" w:afterAutospacing="0"/>
        <w:rPr>
          <w:color w:val="0E101A"/>
        </w:rPr>
      </w:pPr>
      <w:r>
        <w:rPr>
          <w:rStyle w:val="Strong"/>
          <w:color w:val="0E101A"/>
        </w:rPr>
        <w:t>Evangelism</w:t>
      </w:r>
    </w:p>
    <w:p w14:paraId="4A9A31FB" w14:textId="39169F0A" w:rsidR="0080072D" w:rsidRDefault="0080072D" w:rsidP="00F839AE">
      <w:pPr>
        <w:pStyle w:val="NormalWeb"/>
        <w:spacing w:before="240" w:beforeAutospacing="0" w:after="0" w:afterAutospacing="0"/>
        <w:rPr>
          <w:color w:val="0E101A"/>
        </w:rPr>
      </w:pPr>
      <w:r>
        <w:rPr>
          <w:color w:val="0E101A"/>
        </w:rPr>
        <w:t>My view of evangelism is that every believer has been called to evangelize. The Great Commission commands every believer to go and make disciples (Mt 28:18-20). The reason is as Dave Earley would say, “Evangelism is the real business of life.”</w:t>
      </w:r>
      <w:r>
        <w:rPr>
          <w:rStyle w:val="FootnoteReference"/>
        </w:rPr>
        <w:footnoteReference w:id="11"/>
      </w:r>
      <w:r>
        <w:rPr>
          <w:color w:val="0E101A"/>
        </w:rPr>
        <w:t> Unfortunately, not many people evangelize. David Wheeler and Vernon Whaley note that a dichotomy or tension exists between the call to be a worshipper of Christ and how that expression is lived out as a participant of the Great Commission.</w:t>
      </w:r>
      <w:r>
        <w:rPr>
          <w:rStyle w:val="FootnoteReference"/>
        </w:rPr>
        <w:footnoteReference w:id="12"/>
      </w:r>
      <w:r>
        <w:rPr>
          <w:color w:val="0E101A"/>
        </w:rPr>
        <w:t xml:space="preserve"> The resultant effect is that many Christians choose to drop evangelism at the expense of worship. Back in the days, when growing up in the faith, it was </w:t>
      </w:r>
      <w:r>
        <w:rPr>
          <w:color w:val="0E101A"/>
        </w:rPr>
        <w:lastRenderedPageBreak/>
        <w:t>common in my church circles to hear people call others evangelists so and so. I used to think that evangelists were a special lot of people. However, when I started to facilitate a youth Bible study in my local church, I began to realize that evangelism was not that complicated. Any believer could do it. Though some seemed to be good at evangelism than others, still any believer who dared to evangelize succeeded.</w:t>
      </w:r>
    </w:p>
    <w:p w14:paraId="1A064105" w14:textId="0F0E32E5" w:rsidR="00044716" w:rsidRDefault="0080072D" w:rsidP="00F839AE">
      <w:pPr>
        <w:pStyle w:val="NormalWeb"/>
        <w:spacing w:before="240" w:beforeAutospacing="0" w:after="0" w:afterAutospacing="0"/>
        <w:rPr>
          <w:color w:val="0E101A"/>
        </w:rPr>
      </w:pPr>
      <w:r>
        <w:rPr>
          <w:color w:val="0E101A"/>
        </w:rPr>
        <w:t xml:space="preserve">One thing I found interesting about the course material is that evangelism is not the same thing as missions. I admit our church often interchanges the word missions with evangelism and vice versa. Geoffrey Hammond distinguishes the two and says: The essential nature and expression of evangelism is the passionate proclamation of the message of the gospel to the end that people will be redeemed as they trust Christ and his saving work at the cross to receive forgiveness and eternal life. On the other hand, missions </w:t>
      </w:r>
      <w:proofErr w:type="gramStart"/>
      <w:r>
        <w:rPr>
          <w:color w:val="0E101A"/>
        </w:rPr>
        <w:t>is</w:t>
      </w:r>
      <w:proofErr w:type="gramEnd"/>
      <w:r>
        <w:rPr>
          <w:color w:val="0E101A"/>
        </w:rPr>
        <w:t xml:space="preserve"> a transcultural enterprise in which the gospel message is taken into another culture at home or overseas (Acts 1:8).</w:t>
      </w:r>
      <w:r>
        <w:rPr>
          <w:rStyle w:val="FootnoteReference"/>
        </w:rPr>
        <w:footnoteReference w:id="13"/>
      </w:r>
    </w:p>
    <w:p w14:paraId="2EC342E6" w14:textId="77777777" w:rsidR="00F839AE" w:rsidRPr="0080072D" w:rsidRDefault="00F839AE" w:rsidP="00F839AE">
      <w:pPr>
        <w:pStyle w:val="NormalWeb"/>
        <w:spacing w:before="240" w:beforeAutospacing="0" w:after="0" w:afterAutospacing="0"/>
        <w:rPr>
          <w:color w:val="0E101A"/>
        </w:rPr>
      </w:pPr>
    </w:p>
    <w:p w14:paraId="3AF13BB7" w14:textId="538CBE03" w:rsidR="00D80740" w:rsidRPr="00F64903" w:rsidRDefault="00D80740">
      <w:pPr>
        <w:rPr>
          <w:rFonts w:ascii="Times New Roman" w:hAnsi="Times New Roman" w:cs="Times New Roman"/>
          <w:sz w:val="24"/>
          <w:szCs w:val="24"/>
        </w:rPr>
      </w:pPr>
    </w:p>
    <w:p w14:paraId="59624D75" w14:textId="7E854C4F" w:rsidR="00D80740" w:rsidRPr="00A17361" w:rsidRDefault="00D80740">
      <w:pPr>
        <w:rPr>
          <w:rFonts w:ascii="Times New Roman" w:hAnsi="Times New Roman" w:cs="Times New Roman"/>
          <w:b/>
          <w:bCs/>
          <w:sz w:val="24"/>
          <w:szCs w:val="24"/>
        </w:rPr>
      </w:pPr>
      <w:r w:rsidRPr="00A17361">
        <w:rPr>
          <w:rFonts w:ascii="Times New Roman" w:hAnsi="Times New Roman" w:cs="Times New Roman"/>
          <w:b/>
          <w:bCs/>
          <w:sz w:val="24"/>
          <w:szCs w:val="24"/>
        </w:rPr>
        <w:t>Bibliography</w:t>
      </w:r>
    </w:p>
    <w:p w14:paraId="6490BE2C" w14:textId="7A6901BB" w:rsidR="00A17361" w:rsidRPr="00F64903" w:rsidRDefault="00A17361" w:rsidP="00A17361">
      <w:pPr>
        <w:pStyle w:val="NormalWeb"/>
        <w:shd w:val="clear" w:color="auto" w:fill="FFFFFF"/>
        <w:spacing w:before="0" w:beforeAutospacing="0"/>
        <w:ind w:left="720" w:hanging="720"/>
        <w:rPr>
          <w:color w:val="212529"/>
        </w:rPr>
      </w:pPr>
      <w:bookmarkStart w:id="0" w:name="_Hlk72452733"/>
      <w:r w:rsidRPr="00F64903">
        <w:rPr>
          <w:color w:val="212529"/>
        </w:rPr>
        <w:t>Earley, David</w:t>
      </w:r>
      <w:r>
        <w:rPr>
          <w:color w:val="212529"/>
        </w:rPr>
        <w:t>. “The Real Business of Life.” In</w:t>
      </w:r>
      <w:r w:rsidRPr="00F64903">
        <w:rPr>
          <w:color w:val="212529"/>
        </w:rPr>
        <w:t> </w:t>
      </w:r>
      <w:r w:rsidRPr="00F64903">
        <w:rPr>
          <w:rStyle w:val="Emphasis"/>
          <w:color w:val="212529"/>
        </w:rPr>
        <w:t>Everyday Series: Evangelism</w:t>
      </w:r>
      <w:r w:rsidR="005C242E">
        <w:rPr>
          <w:rStyle w:val="Emphasis"/>
          <w:color w:val="212529"/>
        </w:rPr>
        <w:t xml:space="preserve">, </w:t>
      </w:r>
      <w:r w:rsidR="005C242E">
        <w:rPr>
          <w:rStyle w:val="Emphasis"/>
          <w:i w:val="0"/>
          <w:iCs w:val="0"/>
          <w:color w:val="212529"/>
        </w:rPr>
        <w:t>11-16.</w:t>
      </w:r>
      <w:r w:rsidRPr="00F64903">
        <w:rPr>
          <w:rStyle w:val="Emphasis"/>
          <w:color w:val="212529"/>
        </w:rPr>
        <w:t> </w:t>
      </w:r>
      <w:r w:rsidRPr="00F64903">
        <w:rPr>
          <w:color w:val="212529"/>
        </w:rPr>
        <w:t>Nashville: B&amp;H Publishing Group</w:t>
      </w:r>
      <w:r w:rsidRPr="00F64903">
        <w:rPr>
          <w:color w:val="212529"/>
        </w:rPr>
        <w:t>, 2016.</w:t>
      </w:r>
    </w:p>
    <w:bookmarkEnd w:id="0"/>
    <w:p w14:paraId="1FDC82D7" w14:textId="77777777" w:rsidR="00A17361" w:rsidRDefault="00A17361" w:rsidP="00A17361">
      <w:pPr>
        <w:pStyle w:val="NormalWeb"/>
        <w:shd w:val="clear" w:color="auto" w:fill="FFFFFF"/>
        <w:spacing w:before="0" w:beforeAutospacing="0"/>
        <w:ind w:left="720" w:hanging="720"/>
      </w:pPr>
      <w:r>
        <w:t>Hammond, Geoffrey, “What Evangelism is Not.” Lecture Notes</w:t>
      </w:r>
      <w:r w:rsidRPr="00F64903">
        <w:t xml:space="preserve"> in EVAN 525 at Liberty University, Lynchburg, VA, May 20, 2021.</w:t>
      </w:r>
    </w:p>
    <w:p w14:paraId="69943850" w14:textId="77777777" w:rsidR="00A17361" w:rsidRDefault="00A17361" w:rsidP="00A17361">
      <w:pPr>
        <w:ind w:left="720" w:hanging="720"/>
        <w:rPr>
          <w:rFonts w:ascii="Times New Roman" w:hAnsi="Times New Roman" w:cs="Times New Roman"/>
          <w:sz w:val="24"/>
          <w:szCs w:val="24"/>
        </w:rPr>
      </w:pPr>
      <w:r w:rsidRPr="00142A1B">
        <w:rPr>
          <w:rFonts w:ascii="Times New Roman" w:hAnsi="Times New Roman" w:cs="Times New Roman"/>
          <w:sz w:val="24"/>
          <w:szCs w:val="24"/>
        </w:rPr>
        <w:t>McCloskey, Mark</w:t>
      </w:r>
      <w:r>
        <w:rPr>
          <w:rFonts w:ascii="Times New Roman" w:hAnsi="Times New Roman" w:cs="Times New Roman"/>
          <w:sz w:val="24"/>
          <w:szCs w:val="24"/>
        </w:rPr>
        <w:t xml:space="preserve">. </w:t>
      </w:r>
      <w:r w:rsidRPr="00222F4B">
        <w:rPr>
          <w:rFonts w:ascii="Times New Roman" w:hAnsi="Times New Roman" w:cs="Times New Roman"/>
          <w:i/>
          <w:iCs/>
          <w:sz w:val="24"/>
          <w:szCs w:val="24"/>
        </w:rPr>
        <w:t>Tell It Often—Tell It Well; Paul Little, How to Give Away Your Faith</w:t>
      </w:r>
      <w:r w:rsidRPr="00142A1B">
        <w:rPr>
          <w:rFonts w:ascii="Times New Roman" w:hAnsi="Times New Roman" w:cs="Times New Roman"/>
          <w:sz w:val="24"/>
          <w:szCs w:val="24"/>
        </w:rPr>
        <w:t xml:space="preserve">, 2d ed. Downers Grove: </w:t>
      </w:r>
      <w:r>
        <w:rPr>
          <w:rFonts w:ascii="Times New Roman" w:hAnsi="Times New Roman" w:cs="Times New Roman"/>
          <w:sz w:val="24"/>
          <w:szCs w:val="24"/>
        </w:rPr>
        <w:t>ILL</w:t>
      </w:r>
      <w:r w:rsidRPr="00142A1B">
        <w:rPr>
          <w:rFonts w:ascii="Times New Roman" w:hAnsi="Times New Roman" w:cs="Times New Roman"/>
          <w:sz w:val="24"/>
          <w:szCs w:val="24"/>
        </w:rPr>
        <w:t>: InterVarsity Press, 1988</w:t>
      </w:r>
      <w:r>
        <w:rPr>
          <w:rFonts w:ascii="Times New Roman" w:hAnsi="Times New Roman" w:cs="Times New Roman"/>
          <w:sz w:val="24"/>
          <w:szCs w:val="24"/>
        </w:rPr>
        <w:t>.</w:t>
      </w:r>
    </w:p>
    <w:p w14:paraId="76413677" w14:textId="77777777" w:rsidR="00A17361" w:rsidRPr="00F64903" w:rsidRDefault="00A17361" w:rsidP="00A17361">
      <w:pPr>
        <w:pStyle w:val="NormalWeb"/>
        <w:shd w:val="clear" w:color="auto" w:fill="FFFFFF"/>
        <w:spacing w:before="0" w:beforeAutospacing="0"/>
        <w:ind w:left="720" w:hanging="720"/>
        <w:rPr>
          <w:color w:val="212529"/>
        </w:rPr>
      </w:pPr>
      <w:r w:rsidRPr="00F64903">
        <w:rPr>
          <w:color w:val="212529"/>
        </w:rPr>
        <w:t>McRaney, Will. </w:t>
      </w:r>
      <w:r w:rsidRPr="00F64903">
        <w:rPr>
          <w:rStyle w:val="Emphasis"/>
          <w:color w:val="212529"/>
        </w:rPr>
        <w:t>The Art of Personal Evangelism, </w:t>
      </w:r>
      <w:r w:rsidRPr="00F64903">
        <w:rPr>
          <w:color w:val="212529"/>
        </w:rPr>
        <w:t>Nashville: B and H Publishing Grou</w:t>
      </w:r>
      <w:r>
        <w:rPr>
          <w:color w:val="212529"/>
        </w:rPr>
        <w:t>p,</w:t>
      </w:r>
      <w:r w:rsidRPr="00F64903">
        <w:rPr>
          <w:color w:val="212529"/>
        </w:rPr>
        <w:t xml:space="preserve"> 2003</w:t>
      </w:r>
      <w:r>
        <w:rPr>
          <w:color w:val="212529"/>
        </w:rPr>
        <w:t>.</w:t>
      </w:r>
    </w:p>
    <w:p w14:paraId="3ED37887" w14:textId="77777777" w:rsidR="00A17361" w:rsidRPr="00F64903" w:rsidRDefault="00A17361" w:rsidP="00A17361">
      <w:pPr>
        <w:pStyle w:val="NormalWeb"/>
        <w:shd w:val="clear" w:color="auto" w:fill="FFFFFF"/>
        <w:spacing w:before="0" w:beforeAutospacing="0"/>
        <w:ind w:left="720" w:hanging="720"/>
      </w:pPr>
      <w:r>
        <w:t>Mounce,</w:t>
      </w:r>
      <w:r w:rsidRPr="00D83DF2">
        <w:t xml:space="preserve"> </w:t>
      </w:r>
      <w:r>
        <w:t xml:space="preserve">R. H. </w:t>
      </w:r>
      <w:r w:rsidRPr="00D83DF2">
        <w:t>“</w:t>
      </w:r>
      <w:r>
        <w:t>Gospel</w:t>
      </w:r>
      <w:r w:rsidRPr="00D83DF2">
        <w:t xml:space="preserve">.” In </w:t>
      </w:r>
      <w:r w:rsidRPr="00D83DF2">
        <w:rPr>
          <w:i/>
          <w:iCs/>
        </w:rPr>
        <w:t>Evangelical Dictionary of Theology</w:t>
      </w:r>
      <w:r w:rsidRPr="00D83DF2">
        <w:t xml:space="preserve">, edited by Walter Elwell, </w:t>
      </w:r>
      <w:r>
        <w:t>513-515</w:t>
      </w:r>
      <w:r w:rsidRPr="00D83DF2">
        <w:t>. Grand Rapids: Baker Academic, 2017.</w:t>
      </w:r>
    </w:p>
    <w:p w14:paraId="51C3B247" w14:textId="142C8F28" w:rsidR="00A17361" w:rsidRPr="00F64903" w:rsidRDefault="00A17361" w:rsidP="00A17361">
      <w:pPr>
        <w:pStyle w:val="NormalWeb"/>
        <w:shd w:val="clear" w:color="auto" w:fill="FFFFFF"/>
        <w:spacing w:before="0" w:beforeAutospacing="0"/>
        <w:ind w:left="720" w:hanging="720"/>
        <w:rPr>
          <w:color w:val="212529"/>
        </w:rPr>
      </w:pPr>
      <w:r w:rsidRPr="00F64903">
        <w:rPr>
          <w:color w:val="212529"/>
          <w:shd w:val="clear" w:color="auto" w:fill="FFFFFF"/>
        </w:rPr>
        <w:t>Whaley, Vernon &amp; David</w:t>
      </w:r>
      <w:r w:rsidRPr="00A17361">
        <w:rPr>
          <w:color w:val="212529"/>
          <w:shd w:val="clear" w:color="auto" w:fill="FFFFFF"/>
        </w:rPr>
        <w:t xml:space="preserve"> </w:t>
      </w:r>
      <w:r w:rsidRPr="00F64903">
        <w:rPr>
          <w:color w:val="212529"/>
          <w:shd w:val="clear" w:color="auto" w:fill="FFFFFF"/>
        </w:rPr>
        <w:t>Wheeler. </w:t>
      </w:r>
      <w:r w:rsidRPr="00F64903">
        <w:rPr>
          <w:rStyle w:val="Emphasis"/>
          <w:color w:val="212529"/>
          <w:shd w:val="clear" w:color="auto" w:fill="FFFFFF"/>
        </w:rPr>
        <w:t>The Great Commission to Worship</w:t>
      </w:r>
      <w:r w:rsidRPr="00F64903">
        <w:rPr>
          <w:color w:val="212529"/>
          <w:shd w:val="clear" w:color="auto" w:fill="FFFFFF"/>
        </w:rPr>
        <w:t>. Nashville: B and H Publishing Group, 2011</w:t>
      </w:r>
      <w:r w:rsidRPr="00F64903">
        <w:rPr>
          <w:color w:val="212529"/>
          <w:shd w:val="clear" w:color="auto" w:fill="FFFFFF"/>
        </w:rPr>
        <w:t>.</w:t>
      </w:r>
    </w:p>
    <w:p w14:paraId="5B9B2276" w14:textId="77777777" w:rsidR="00A17361" w:rsidRDefault="00A17361" w:rsidP="00A17361">
      <w:pPr>
        <w:pStyle w:val="NormalWeb"/>
        <w:shd w:val="clear" w:color="auto" w:fill="FFFFFF"/>
        <w:spacing w:before="0" w:beforeAutospacing="0"/>
        <w:ind w:left="720" w:hanging="720"/>
      </w:pPr>
      <w:r w:rsidRPr="00F64903">
        <w:t>Wheeler</w:t>
      </w:r>
      <w:r w:rsidRPr="00F64903">
        <w:t xml:space="preserve">, </w:t>
      </w:r>
      <w:r w:rsidRPr="00F64903">
        <w:t>David.</w:t>
      </w:r>
      <w:r w:rsidRPr="00F64903">
        <w:t xml:space="preserve"> “Defining Evangelism, the Gospel, and Your Testimony</w:t>
      </w:r>
      <w:r w:rsidRPr="00F64903">
        <w:t xml:space="preserve">” </w:t>
      </w:r>
      <w:r w:rsidRPr="00F64903">
        <w:t xml:space="preserve">Course video in </w:t>
      </w:r>
      <w:r w:rsidRPr="00F64903">
        <w:t>EVAN 525</w:t>
      </w:r>
      <w:r w:rsidRPr="00F64903">
        <w:t xml:space="preserve"> at Liberty University, Lynchburg, VA, </w:t>
      </w:r>
      <w:r w:rsidRPr="00F64903">
        <w:t>May 20</w:t>
      </w:r>
      <w:r w:rsidRPr="00F64903">
        <w:t>, 2021</w:t>
      </w:r>
      <w:r w:rsidRPr="00F64903">
        <w:t>.</w:t>
      </w:r>
    </w:p>
    <w:p w14:paraId="6985EC72" w14:textId="77777777" w:rsidR="00A17361" w:rsidRPr="00F64903" w:rsidRDefault="00A17361" w:rsidP="00A17361">
      <w:pPr>
        <w:pStyle w:val="NormalWeb"/>
        <w:shd w:val="clear" w:color="auto" w:fill="FFFFFF"/>
        <w:spacing w:before="0" w:beforeAutospacing="0"/>
        <w:ind w:left="720" w:hanging="720"/>
        <w:rPr>
          <w:color w:val="212529"/>
        </w:rPr>
      </w:pPr>
      <w:r w:rsidRPr="00F64903">
        <w:rPr>
          <w:color w:val="212529"/>
        </w:rPr>
        <w:t>Wheeler, David. </w:t>
      </w:r>
      <w:r w:rsidRPr="00F64903">
        <w:rPr>
          <w:rStyle w:val="Emphasis"/>
          <w:color w:val="212529"/>
        </w:rPr>
        <w:t>Servanthood Evangelism Manual</w:t>
      </w:r>
      <w:r w:rsidRPr="00F64903">
        <w:rPr>
          <w:color w:val="212529"/>
        </w:rPr>
        <w:t>. Nashville: Lifeway</w:t>
      </w:r>
      <w:r w:rsidRPr="00F64903">
        <w:rPr>
          <w:color w:val="212529"/>
        </w:rPr>
        <w:t>, 2018.</w:t>
      </w:r>
    </w:p>
    <w:p w14:paraId="589B3DA4" w14:textId="3FE07474" w:rsidR="00A17361" w:rsidRPr="00F64903" w:rsidRDefault="00A17361">
      <w:pPr>
        <w:rPr>
          <w:rFonts w:ascii="Times New Roman" w:hAnsi="Times New Roman" w:cs="Times New Roman"/>
          <w:sz w:val="24"/>
          <w:szCs w:val="24"/>
        </w:rPr>
      </w:pPr>
    </w:p>
    <w:sectPr w:rsidR="00A17361" w:rsidRPr="00F649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E7807" w14:textId="77777777" w:rsidR="005A5E83" w:rsidRDefault="005A5E83" w:rsidP="00044716">
      <w:pPr>
        <w:spacing w:after="0" w:line="240" w:lineRule="auto"/>
      </w:pPr>
      <w:r>
        <w:separator/>
      </w:r>
    </w:p>
  </w:endnote>
  <w:endnote w:type="continuationSeparator" w:id="0">
    <w:p w14:paraId="3A91D784" w14:textId="77777777" w:rsidR="005A5E83" w:rsidRDefault="005A5E83" w:rsidP="000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D7BEC" w14:textId="77777777" w:rsidR="005A5E83" w:rsidRDefault="005A5E83" w:rsidP="00044716">
      <w:pPr>
        <w:spacing w:after="0" w:line="240" w:lineRule="auto"/>
      </w:pPr>
      <w:r>
        <w:separator/>
      </w:r>
    </w:p>
  </w:footnote>
  <w:footnote w:type="continuationSeparator" w:id="0">
    <w:p w14:paraId="6E29B7D4" w14:textId="77777777" w:rsidR="005A5E83" w:rsidRDefault="005A5E83" w:rsidP="00044716">
      <w:pPr>
        <w:spacing w:after="0" w:line="240" w:lineRule="auto"/>
      </w:pPr>
      <w:r>
        <w:continuationSeparator/>
      </w:r>
    </w:p>
  </w:footnote>
  <w:footnote w:id="1">
    <w:p w14:paraId="521C1EFC" w14:textId="77777777" w:rsidR="0080072D" w:rsidRPr="005C242E" w:rsidRDefault="0080072D" w:rsidP="0080072D">
      <w:pPr>
        <w:pStyle w:val="NormalWeb"/>
        <w:shd w:val="clear" w:color="auto" w:fill="FFFFFF"/>
        <w:spacing w:before="240" w:beforeAutospacing="0" w:after="0" w:afterAutospacing="0"/>
        <w:ind w:firstLine="720"/>
        <w:rPr>
          <w:color w:val="212529"/>
          <w:sz w:val="20"/>
          <w:szCs w:val="20"/>
        </w:rPr>
      </w:pPr>
      <w:r w:rsidRPr="005C242E">
        <w:rPr>
          <w:rStyle w:val="FootnoteReference"/>
          <w:sz w:val="20"/>
          <w:szCs w:val="20"/>
        </w:rPr>
        <w:footnoteRef/>
      </w:r>
      <w:r w:rsidRPr="005C242E">
        <w:rPr>
          <w:sz w:val="20"/>
          <w:szCs w:val="20"/>
        </w:rPr>
        <w:t xml:space="preserve"> Will </w:t>
      </w:r>
      <w:r w:rsidRPr="005C242E">
        <w:rPr>
          <w:color w:val="212529"/>
          <w:sz w:val="20"/>
          <w:szCs w:val="20"/>
        </w:rPr>
        <w:t xml:space="preserve">McRaney, </w:t>
      </w:r>
      <w:r w:rsidRPr="005C242E">
        <w:rPr>
          <w:rStyle w:val="Emphasis"/>
          <w:color w:val="212529"/>
          <w:sz w:val="20"/>
          <w:szCs w:val="20"/>
        </w:rPr>
        <w:t xml:space="preserve">The Art of Personal Evangelism </w:t>
      </w:r>
      <w:r w:rsidRPr="005C242E">
        <w:rPr>
          <w:rStyle w:val="Emphasis"/>
          <w:i w:val="0"/>
          <w:iCs w:val="0"/>
          <w:color w:val="212529"/>
          <w:sz w:val="20"/>
          <w:szCs w:val="20"/>
        </w:rPr>
        <w:t>(</w:t>
      </w:r>
      <w:r w:rsidRPr="005C242E">
        <w:rPr>
          <w:color w:val="212529"/>
          <w:sz w:val="20"/>
          <w:szCs w:val="20"/>
        </w:rPr>
        <w:t>Nashville: B and H Publishing Group, 2003), 79.</w:t>
      </w:r>
    </w:p>
  </w:footnote>
  <w:footnote w:id="2">
    <w:p w14:paraId="1DB5F8C6"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R. H. Mounce, “Gospel.” In </w:t>
      </w:r>
      <w:r w:rsidRPr="005C242E">
        <w:rPr>
          <w:rFonts w:ascii="Times New Roman" w:hAnsi="Times New Roman" w:cs="Times New Roman"/>
          <w:i/>
          <w:iCs/>
        </w:rPr>
        <w:t>Evangelical Dictionary of Theology</w:t>
      </w:r>
      <w:r w:rsidRPr="005C242E">
        <w:rPr>
          <w:rFonts w:ascii="Times New Roman" w:hAnsi="Times New Roman" w:cs="Times New Roman"/>
        </w:rPr>
        <w:t>, ed. Walter Elwell (Grand Rapids: Baker Academic, 2017), 513.</w:t>
      </w:r>
    </w:p>
  </w:footnote>
  <w:footnote w:id="3">
    <w:p w14:paraId="12E014A1"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Ibid., 513.</w:t>
      </w:r>
    </w:p>
  </w:footnote>
  <w:footnote w:id="4">
    <w:p w14:paraId="2944245B"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w:t>
      </w:r>
      <w:r w:rsidRPr="005C242E">
        <w:rPr>
          <w:rFonts w:ascii="Times New Roman" w:hAnsi="Times New Roman" w:cs="Times New Roman"/>
          <w:color w:val="212529"/>
        </w:rPr>
        <w:t xml:space="preserve">McRaney, </w:t>
      </w:r>
      <w:r w:rsidRPr="005C242E">
        <w:rPr>
          <w:rStyle w:val="Emphasis"/>
          <w:rFonts w:ascii="Times New Roman" w:hAnsi="Times New Roman" w:cs="Times New Roman"/>
          <w:color w:val="212529"/>
        </w:rPr>
        <w:t xml:space="preserve">The Art of Personal Evangelism, </w:t>
      </w:r>
      <w:r w:rsidRPr="005C242E">
        <w:rPr>
          <w:rFonts w:ascii="Times New Roman" w:hAnsi="Times New Roman" w:cs="Times New Roman"/>
        </w:rPr>
        <w:t>98.</w:t>
      </w:r>
    </w:p>
  </w:footnote>
  <w:footnote w:id="5">
    <w:p w14:paraId="34E3C5E2" w14:textId="77777777" w:rsidR="0080072D" w:rsidRPr="005C242E" w:rsidRDefault="0080072D" w:rsidP="0080072D">
      <w:pPr>
        <w:pStyle w:val="NormalWeb"/>
        <w:shd w:val="clear" w:color="auto" w:fill="FFFFFF"/>
        <w:spacing w:before="240" w:beforeAutospacing="0" w:after="0" w:afterAutospacing="0"/>
        <w:ind w:firstLine="720"/>
        <w:rPr>
          <w:sz w:val="20"/>
          <w:szCs w:val="20"/>
        </w:rPr>
      </w:pPr>
      <w:r w:rsidRPr="005C242E">
        <w:rPr>
          <w:rStyle w:val="FootnoteReference"/>
          <w:sz w:val="20"/>
          <w:szCs w:val="20"/>
        </w:rPr>
        <w:footnoteRef/>
      </w:r>
      <w:r w:rsidRPr="005C242E">
        <w:rPr>
          <w:sz w:val="20"/>
          <w:szCs w:val="20"/>
        </w:rPr>
        <w:t xml:space="preserve"> David Wheeler, “Defining Evangelism, the Gospel, and Your Testimony” (Course video in EVAN 525 at Liberty University, Lynchburg, VA, May 20, 2021).</w:t>
      </w:r>
    </w:p>
  </w:footnote>
  <w:footnote w:id="6">
    <w:p w14:paraId="4DF922B9" w14:textId="77777777" w:rsidR="0080072D" w:rsidRPr="005C242E" w:rsidRDefault="0080072D" w:rsidP="0080072D">
      <w:pPr>
        <w:spacing w:before="240" w:after="0" w:line="240" w:lineRule="auto"/>
        <w:ind w:firstLine="720"/>
        <w:rPr>
          <w:rFonts w:ascii="Times New Roman" w:hAnsi="Times New Roman" w:cs="Times New Roman"/>
          <w:sz w:val="20"/>
          <w:szCs w:val="20"/>
        </w:rPr>
      </w:pPr>
      <w:r w:rsidRPr="005C242E">
        <w:rPr>
          <w:rStyle w:val="FootnoteReference"/>
          <w:rFonts w:ascii="Times New Roman" w:hAnsi="Times New Roman" w:cs="Times New Roman"/>
          <w:sz w:val="20"/>
          <w:szCs w:val="20"/>
        </w:rPr>
        <w:footnoteRef/>
      </w:r>
      <w:r w:rsidRPr="005C242E">
        <w:rPr>
          <w:rFonts w:ascii="Times New Roman" w:hAnsi="Times New Roman" w:cs="Times New Roman"/>
          <w:sz w:val="20"/>
          <w:szCs w:val="20"/>
        </w:rPr>
        <w:t xml:space="preserve"> Mounce, “Gospel.” In </w:t>
      </w:r>
      <w:r w:rsidRPr="005C242E">
        <w:rPr>
          <w:rFonts w:ascii="Times New Roman" w:hAnsi="Times New Roman" w:cs="Times New Roman"/>
          <w:i/>
          <w:iCs/>
          <w:sz w:val="20"/>
          <w:szCs w:val="20"/>
        </w:rPr>
        <w:t>Evangelical Dictionary of Theology</w:t>
      </w:r>
      <w:r w:rsidRPr="005C242E">
        <w:rPr>
          <w:rFonts w:ascii="Times New Roman" w:hAnsi="Times New Roman" w:cs="Times New Roman"/>
          <w:sz w:val="20"/>
          <w:szCs w:val="20"/>
        </w:rPr>
        <w:t>, 513.</w:t>
      </w:r>
    </w:p>
  </w:footnote>
  <w:footnote w:id="7">
    <w:p w14:paraId="63EFCD3E" w14:textId="77777777" w:rsidR="0080072D" w:rsidRPr="005C242E" w:rsidRDefault="0080072D" w:rsidP="0080072D">
      <w:pPr>
        <w:spacing w:before="240" w:after="0"/>
        <w:ind w:firstLine="720"/>
        <w:rPr>
          <w:rFonts w:ascii="Times New Roman" w:hAnsi="Times New Roman" w:cs="Times New Roman"/>
          <w:sz w:val="20"/>
          <w:szCs w:val="20"/>
        </w:rPr>
      </w:pPr>
      <w:r w:rsidRPr="005C242E">
        <w:rPr>
          <w:rStyle w:val="FootnoteReference"/>
          <w:rFonts w:ascii="Times New Roman" w:hAnsi="Times New Roman" w:cs="Times New Roman"/>
          <w:sz w:val="20"/>
          <w:szCs w:val="20"/>
        </w:rPr>
        <w:footnoteRef/>
      </w:r>
      <w:r w:rsidRPr="005C242E">
        <w:rPr>
          <w:rFonts w:ascii="Times New Roman" w:hAnsi="Times New Roman" w:cs="Times New Roman"/>
          <w:sz w:val="20"/>
          <w:szCs w:val="20"/>
        </w:rPr>
        <w:t xml:space="preserve"> Mark McCloskey, </w:t>
      </w:r>
      <w:r w:rsidRPr="005C242E">
        <w:rPr>
          <w:rFonts w:ascii="Times New Roman" w:hAnsi="Times New Roman" w:cs="Times New Roman"/>
          <w:i/>
          <w:iCs/>
          <w:sz w:val="20"/>
          <w:szCs w:val="20"/>
        </w:rPr>
        <w:t>Tell It Often—Tell It Well; Paul Little, How to Give Away Your Faith</w:t>
      </w:r>
      <w:r w:rsidRPr="005C242E">
        <w:rPr>
          <w:rFonts w:ascii="Times New Roman" w:hAnsi="Times New Roman" w:cs="Times New Roman"/>
          <w:sz w:val="20"/>
          <w:szCs w:val="20"/>
        </w:rPr>
        <w:t xml:space="preserve">, 2d ed. (Downers Grove, ILL: InterVarsity Press, 1988), 29-30. </w:t>
      </w:r>
    </w:p>
  </w:footnote>
  <w:footnote w:id="8">
    <w:p w14:paraId="74DF34AC"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Unless otherwise noted, all biblical passages referenced are in the </w:t>
      </w:r>
      <w:r w:rsidRPr="005C242E">
        <w:rPr>
          <w:rFonts w:ascii="Times New Roman" w:hAnsi="Times New Roman" w:cs="Times New Roman"/>
          <w:i/>
          <w:iCs/>
        </w:rPr>
        <w:t>New International Version</w:t>
      </w:r>
      <w:r w:rsidRPr="005C242E">
        <w:rPr>
          <w:rFonts w:ascii="Times New Roman" w:hAnsi="Times New Roman" w:cs="Times New Roman"/>
        </w:rPr>
        <w:t xml:space="preserve"> (Grand Rapids, MI: Zondervan, 2011).</w:t>
      </w:r>
    </w:p>
  </w:footnote>
  <w:footnote w:id="9">
    <w:p w14:paraId="3FE89888"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w:t>
      </w:r>
      <w:r w:rsidRPr="005C242E">
        <w:rPr>
          <w:rFonts w:ascii="Times New Roman" w:hAnsi="Times New Roman" w:cs="Times New Roman"/>
          <w:color w:val="212529"/>
        </w:rPr>
        <w:t xml:space="preserve">McRaney, </w:t>
      </w:r>
      <w:r w:rsidRPr="005C242E">
        <w:rPr>
          <w:rStyle w:val="Emphasis"/>
          <w:rFonts w:ascii="Times New Roman" w:hAnsi="Times New Roman" w:cs="Times New Roman"/>
          <w:color w:val="212529"/>
        </w:rPr>
        <w:t xml:space="preserve">The Art of Personal Evangelism, </w:t>
      </w:r>
      <w:r w:rsidRPr="005C242E">
        <w:rPr>
          <w:rStyle w:val="Emphasis"/>
          <w:rFonts w:ascii="Times New Roman" w:hAnsi="Times New Roman" w:cs="Times New Roman"/>
          <w:i w:val="0"/>
          <w:iCs w:val="0"/>
          <w:color w:val="212529"/>
        </w:rPr>
        <w:t>85.</w:t>
      </w:r>
    </w:p>
  </w:footnote>
  <w:footnote w:id="10">
    <w:p w14:paraId="5617BDDD"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Ibid., 88.</w:t>
      </w:r>
    </w:p>
  </w:footnote>
  <w:footnote w:id="11">
    <w:p w14:paraId="2E750CAE" w14:textId="77777777" w:rsidR="0080072D" w:rsidRPr="005C242E" w:rsidRDefault="0080072D" w:rsidP="0080072D">
      <w:pPr>
        <w:pStyle w:val="FootnoteText"/>
        <w:spacing w:before="240"/>
        <w:ind w:firstLine="720"/>
        <w:rPr>
          <w:rFonts w:ascii="Times New Roman" w:hAnsi="Times New Roman" w:cs="Times New Roman"/>
        </w:rPr>
      </w:pPr>
      <w:r w:rsidRPr="005C242E">
        <w:rPr>
          <w:rStyle w:val="FootnoteReference"/>
          <w:rFonts w:ascii="Times New Roman" w:hAnsi="Times New Roman" w:cs="Times New Roman"/>
        </w:rPr>
        <w:footnoteRef/>
      </w:r>
      <w:r w:rsidRPr="005C242E">
        <w:rPr>
          <w:rFonts w:ascii="Times New Roman" w:hAnsi="Times New Roman" w:cs="Times New Roman"/>
        </w:rPr>
        <w:t xml:space="preserve"> Earley, David. “The Real Business of Life.” In Everyday Series: Evangelism, 11-16. Nashville: B&amp;H Publishing Group, 2016.</w:t>
      </w:r>
    </w:p>
  </w:footnote>
  <w:footnote w:id="12">
    <w:p w14:paraId="2A810F84" w14:textId="77777777" w:rsidR="0080072D" w:rsidRPr="005C242E" w:rsidRDefault="0080072D" w:rsidP="0080072D">
      <w:pPr>
        <w:pStyle w:val="NormalWeb"/>
        <w:shd w:val="clear" w:color="auto" w:fill="FFFFFF"/>
        <w:spacing w:before="240" w:beforeAutospacing="0"/>
        <w:ind w:firstLine="720"/>
        <w:rPr>
          <w:color w:val="212529"/>
          <w:sz w:val="20"/>
          <w:szCs w:val="20"/>
        </w:rPr>
      </w:pPr>
      <w:r w:rsidRPr="005C242E">
        <w:rPr>
          <w:rStyle w:val="FootnoteReference"/>
          <w:sz w:val="20"/>
          <w:szCs w:val="20"/>
        </w:rPr>
        <w:footnoteRef/>
      </w:r>
      <w:r w:rsidRPr="005C242E">
        <w:rPr>
          <w:sz w:val="20"/>
          <w:szCs w:val="20"/>
        </w:rPr>
        <w:t xml:space="preserve"> </w:t>
      </w:r>
      <w:r w:rsidRPr="005C242E">
        <w:rPr>
          <w:color w:val="212529"/>
          <w:sz w:val="20"/>
          <w:szCs w:val="20"/>
          <w:shd w:val="clear" w:color="auto" w:fill="FFFFFF"/>
        </w:rPr>
        <w:t>Vernon Whaley &amp; David Wheeler, </w:t>
      </w:r>
      <w:r w:rsidRPr="005C242E">
        <w:rPr>
          <w:rStyle w:val="Emphasis"/>
          <w:color w:val="212529"/>
          <w:sz w:val="20"/>
          <w:szCs w:val="20"/>
          <w:shd w:val="clear" w:color="auto" w:fill="FFFFFF"/>
        </w:rPr>
        <w:t>The Great Commission to Worship</w:t>
      </w:r>
      <w:r w:rsidRPr="005C242E">
        <w:rPr>
          <w:color w:val="212529"/>
          <w:sz w:val="20"/>
          <w:szCs w:val="20"/>
          <w:shd w:val="clear" w:color="auto" w:fill="FFFFFF"/>
        </w:rPr>
        <w:t xml:space="preserve"> (Nashville: B and H Publishing Group, 2011).</w:t>
      </w:r>
    </w:p>
    <w:p w14:paraId="343CFB9E" w14:textId="77777777" w:rsidR="0080072D" w:rsidRDefault="0080072D" w:rsidP="0080072D">
      <w:pPr>
        <w:pStyle w:val="FootnoteText"/>
      </w:pPr>
    </w:p>
  </w:footnote>
  <w:footnote w:id="13">
    <w:p w14:paraId="79A73181" w14:textId="77777777" w:rsidR="0080072D" w:rsidRDefault="0080072D" w:rsidP="0080072D">
      <w:pPr>
        <w:pStyle w:val="NormalWeb"/>
        <w:shd w:val="clear" w:color="auto" w:fill="FFFFFF"/>
        <w:spacing w:before="240" w:beforeAutospacing="0" w:after="0" w:afterAutospacing="0"/>
        <w:ind w:firstLine="720"/>
      </w:pPr>
      <w:r>
        <w:rPr>
          <w:rStyle w:val="FootnoteReference"/>
        </w:rPr>
        <w:footnoteRef/>
      </w:r>
      <w:r>
        <w:t xml:space="preserve"> </w:t>
      </w:r>
      <w:r w:rsidRPr="005C242E">
        <w:rPr>
          <w:sz w:val="20"/>
          <w:szCs w:val="20"/>
        </w:rPr>
        <w:t>Geoffrey Hammond, “What Evangelism is Not” (Lecture Notes in EVAN 525 at Liberty University, Lynchburg, VA, May 20, 2021).</w:t>
      </w:r>
    </w:p>
    <w:p w14:paraId="1E23146E" w14:textId="77777777" w:rsidR="0080072D" w:rsidRDefault="0080072D" w:rsidP="0080072D">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A2"/>
    <w:rsid w:val="00010877"/>
    <w:rsid w:val="00044716"/>
    <w:rsid w:val="00051E19"/>
    <w:rsid w:val="000743AA"/>
    <w:rsid w:val="00142A1B"/>
    <w:rsid w:val="00196BE2"/>
    <w:rsid w:val="00222F4B"/>
    <w:rsid w:val="00286F1F"/>
    <w:rsid w:val="002D437C"/>
    <w:rsid w:val="002E4AA3"/>
    <w:rsid w:val="0048412F"/>
    <w:rsid w:val="005469CE"/>
    <w:rsid w:val="00580A5E"/>
    <w:rsid w:val="005A5E83"/>
    <w:rsid w:val="005C242E"/>
    <w:rsid w:val="0068615A"/>
    <w:rsid w:val="006C3B7A"/>
    <w:rsid w:val="007A6401"/>
    <w:rsid w:val="007D5911"/>
    <w:rsid w:val="0080072D"/>
    <w:rsid w:val="00816222"/>
    <w:rsid w:val="008A17CF"/>
    <w:rsid w:val="00921E4E"/>
    <w:rsid w:val="00A17361"/>
    <w:rsid w:val="00AB4383"/>
    <w:rsid w:val="00AB4A84"/>
    <w:rsid w:val="00C44329"/>
    <w:rsid w:val="00D411BF"/>
    <w:rsid w:val="00D6356E"/>
    <w:rsid w:val="00D80740"/>
    <w:rsid w:val="00E17EE7"/>
    <w:rsid w:val="00E27C14"/>
    <w:rsid w:val="00E74BF4"/>
    <w:rsid w:val="00F258A2"/>
    <w:rsid w:val="00F64903"/>
    <w:rsid w:val="00F83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451A4"/>
  <w15:chartTrackingRefBased/>
  <w15:docId w15:val="{2ECC4F17-935F-4515-B3AF-5504DD49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074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740"/>
    <w:rPr>
      <w:i/>
      <w:iCs/>
    </w:rPr>
  </w:style>
  <w:style w:type="paragraph" w:styleId="FootnoteText">
    <w:name w:val="footnote text"/>
    <w:basedOn w:val="Normal"/>
    <w:link w:val="FootnoteTextChar"/>
    <w:uiPriority w:val="99"/>
    <w:semiHidden/>
    <w:unhideWhenUsed/>
    <w:rsid w:val="000447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716"/>
    <w:rPr>
      <w:sz w:val="20"/>
      <w:szCs w:val="20"/>
    </w:rPr>
  </w:style>
  <w:style w:type="character" w:styleId="FootnoteReference">
    <w:name w:val="footnote reference"/>
    <w:basedOn w:val="DefaultParagraphFont"/>
    <w:uiPriority w:val="99"/>
    <w:semiHidden/>
    <w:unhideWhenUsed/>
    <w:rsid w:val="00044716"/>
    <w:rPr>
      <w:vertAlign w:val="superscript"/>
    </w:rPr>
  </w:style>
  <w:style w:type="character" w:styleId="Hyperlink">
    <w:name w:val="Hyperlink"/>
    <w:basedOn w:val="DefaultParagraphFont"/>
    <w:uiPriority w:val="99"/>
    <w:semiHidden/>
    <w:unhideWhenUsed/>
    <w:rsid w:val="0080072D"/>
    <w:rPr>
      <w:color w:val="0000FF"/>
      <w:u w:val="single"/>
    </w:rPr>
  </w:style>
  <w:style w:type="character" w:styleId="Strong">
    <w:name w:val="Strong"/>
    <w:basedOn w:val="DefaultParagraphFont"/>
    <w:uiPriority w:val="22"/>
    <w:qFormat/>
    <w:rsid w:val="008007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562809">
      <w:bodyDiv w:val="1"/>
      <w:marLeft w:val="0"/>
      <w:marRight w:val="0"/>
      <w:marTop w:val="0"/>
      <w:marBottom w:val="0"/>
      <w:divBdr>
        <w:top w:val="none" w:sz="0" w:space="0" w:color="auto"/>
        <w:left w:val="none" w:sz="0" w:space="0" w:color="auto"/>
        <w:bottom w:val="none" w:sz="0" w:space="0" w:color="auto"/>
        <w:right w:val="none" w:sz="0" w:space="0" w:color="auto"/>
      </w:divBdr>
    </w:div>
    <w:div w:id="141531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3B938A3-5E7F-4E65-BE5D-F7A816B8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3</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2021-05-19T20:56:00Z</dcterms:created>
  <dcterms:modified xsi:type="dcterms:W3CDTF">2021-05-20T23:14:00Z</dcterms:modified>
</cp:coreProperties>
</file>