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121953" w:rsidRDefault="00DF7AA0" w:rsidP="00DF7AA0">
      <w:pPr>
        <w:rPr>
          <w:rFonts w:cs="Times New Roman"/>
          <w:szCs w:val="24"/>
        </w:rPr>
      </w:pPr>
    </w:p>
    <w:p w14:paraId="25B3138F" w14:textId="77777777" w:rsidR="00DF7AA0" w:rsidRPr="00121953" w:rsidRDefault="00DF7AA0" w:rsidP="00DF7AA0">
      <w:pPr>
        <w:rPr>
          <w:rFonts w:cs="Times New Roman"/>
          <w:szCs w:val="24"/>
        </w:rPr>
      </w:pPr>
    </w:p>
    <w:p w14:paraId="62022353" w14:textId="77777777" w:rsidR="00DF7AA0" w:rsidRPr="00121953" w:rsidRDefault="00DF7AA0" w:rsidP="00DF7AA0">
      <w:pPr>
        <w:jc w:val="center"/>
        <w:rPr>
          <w:rFonts w:cs="Times New Roman"/>
          <w:szCs w:val="24"/>
        </w:rPr>
      </w:pPr>
    </w:p>
    <w:p w14:paraId="4EC10BDB" w14:textId="77777777" w:rsidR="000C2FB6" w:rsidRPr="00121953"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121953">
        <w:rPr>
          <w:rFonts w:cs="Times New Roman"/>
          <w:szCs w:val="24"/>
        </w:rPr>
        <w:t>LIBERTY UNIVERSITY</w:t>
      </w:r>
    </w:p>
    <w:p w14:paraId="5EF0BF4D" w14:textId="77777777" w:rsidR="000C2FB6" w:rsidRPr="00121953" w:rsidRDefault="000C2FB6" w:rsidP="000C2FB6">
      <w:pPr>
        <w:jc w:val="center"/>
        <w:rPr>
          <w:rFonts w:cs="Times New Roman"/>
          <w:szCs w:val="24"/>
        </w:rPr>
      </w:pPr>
      <w:r w:rsidRPr="00121953">
        <w:rPr>
          <w:rFonts w:cs="Times New Roman"/>
          <w:szCs w:val="24"/>
        </w:rPr>
        <w:t xml:space="preserve">JOHN W. RAWLINGS SCHOOL OF DIVINITY </w:t>
      </w:r>
    </w:p>
    <w:p w14:paraId="54E7D8A5" w14:textId="77777777" w:rsidR="000C2FB6" w:rsidRPr="00121953" w:rsidRDefault="000C2FB6" w:rsidP="000C2FB6">
      <w:pPr>
        <w:jc w:val="center"/>
        <w:rPr>
          <w:rFonts w:cs="Times New Roman"/>
          <w:szCs w:val="24"/>
        </w:rPr>
      </w:pPr>
    </w:p>
    <w:p w14:paraId="5D6F0C74" w14:textId="77777777" w:rsidR="000C2FB6" w:rsidRPr="00121953" w:rsidRDefault="000C2FB6" w:rsidP="000C2FB6">
      <w:pPr>
        <w:rPr>
          <w:rFonts w:cs="Times New Roman"/>
          <w:szCs w:val="24"/>
        </w:rPr>
      </w:pPr>
    </w:p>
    <w:p w14:paraId="083DA82B" w14:textId="12F76DEF" w:rsidR="000C2FB6" w:rsidRPr="00121953" w:rsidRDefault="000C2FB6" w:rsidP="00B216BD">
      <w:pPr>
        <w:spacing w:line="240" w:lineRule="auto"/>
        <w:jc w:val="center"/>
        <w:rPr>
          <w:rFonts w:cs="Times New Roman"/>
          <w:b/>
          <w:bCs/>
          <w:szCs w:val="24"/>
        </w:rPr>
      </w:pPr>
      <w:r w:rsidRPr="00121953">
        <w:rPr>
          <w:rFonts w:cs="Times New Roman"/>
          <w:b/>
          <w:bCs/>
          <w:szCs w:val="24"/>
        </w:rPr>
        <w:t>4MAT Book</w:t>
      </w:r>
      <w:r w:rsidR="00B216BD" w:rsidRPr="00121953">
        <w:rPr>
          <w:rFonts w:cs="Times New Roman"/>
          <w:b/>
          <w:bCs/>
          <w:szCs w:val="24"/>
        </w:rPr>
        <w:t>: The Great Commission to Worship Assignment</w:t>
      </w:r>
      <w:r w:rsidR="00484ECF" w:rsidRPr="00121953">
        <w:rPr>
          <w:rFonts w:cs="Times New Roman"/>
          <w:b/>
          <w:bCs/>
          <w:szCs w:val="24"/>
        </w:rPr>
        <w:t xml:space="preserve"> </w:t>
      </w:r>
    </w:p>
    <w:p w14:paraId="47F87442" w14:textId="394126F7" w:rsidR="00B216BD" w:rsidRPr="00121953" w:rsidRDefault="00B216BD" w:rsidP="000C2FB6">
      <w:pPr>
        <w:rPr>
          <w:rFonts w:cs="Times New Roman"/>
          <w:szCs w:val="24"/>
        </w:rPr>
      </w:pPr>
    </w:p>
    <w:p w14:paraId="1380B3F7" w14:textId="4B84C33A" w:rsidR="00B216BD" w:rsidRPr="00121953" w:rsidRDefault="00B216BD" w:rsidP="000C2FB6">
      <w:pPr>
        <w:rPr>
          <w:rFonts w:cs="Times New Roman"/>
          <w:szCs w:val="24"/>
        </w:rPr>
      </w:pPr>
    </w:p>
    <w:p w14:paraId="3F426043" w14:textId="77777777" w:rsidR="00B216BD" w:rsidRPr="00121953" w:rsidRDefault="00B216BD" w:rsidP="000C2FB6">
      <w:pPr>
        <w:rPr>
          <w:rFonts w:cs="Times New Roman"/>
          <w:szCs w:val="24"/>
        </w:rPr>
      </w:pPr>
    </w:p>
    <w:p w14:paraId="1E138855" w14:textId="77777777" w:rsidR="000C2FB6" w:rsidRPr="00121953" w:rsidRDefault="000C2FB6" w:rsidP="000C2FB6">
      <w:pPr>
        <w:jc w:val="center"/>
        <w:rPr>
          <w:rFonts w:cs="Times New Roman"/>
          <w:szCs w:val="24"/>
        </w:rPr>
      </w:pPr>
      <w:r w:rsidRPr="00121953">
        <w:rPr>
          <w:rFonts w:cs="Times New Roman"/>
          <w:szCs w:val="24"/>
        </w:rPr>
        <w:t>Submitted to Dr Geoffrey Hammond</w:t>
      </w:r>
    </w:p>
    <w:p w14:paraId="6E61F74C" w14:textId="77777777" w:rsidR="000C2FB6" w:rsidRPr="00121953" w:rsidRDefault="000C2FB6" w:rsidP="000C2FB6">
      <w:pPr>
        <w:jc w:val="center"/>
        <w:rPr>
          <w:rFonts w:cs="Times New Roman"/>
          <w:szCs w:val="24"/>
        </w:rPr>
      </w:pPr>
      <w:r w:rsidRPr="00121953">
        <w:rPr>
          <w:rFonts w:cs="Times New Roman"/>
          <w:szCs w:val="24"/>
        </w:rPr>
        <w:t xml:space="preserve">in partial fulfillment of the requirements for the completion of </w:t>
      </w:r>
    </w:p>
    <w:p w14:paraId="3F591752" w14:textId="77777777" w:rsidR="000C2FB6" w:rsidRPr="00121953" w:rsidRDefault="000C2FB6" w:rsidP="000C2FB6">
      <w:pPr>
        <w:jc w:val="center"/>
        <w:rPr>
          <w:rFonts w:cs="Times New Roman"/>
          <w:szCs w:val="24"/>
        </w:rPr>
      </w:pPr>
    </w:p>
    <w:p w14:paraId="57E0703E" w14:textId="77777777" w:rsidR="000C2FB6" w:rsidRPr="00121953" w:rsidRDefault="000C2FB6" w:rsidP="000C2FB6">
      <w:pPr>
        <w:jc w:val="center"/>
        <w:rPr>
          <w:rFonts w:cs="Times New Roman"/>
          <w:szCs w:val="24"/>
        </w:rPr>
      </w:pPr>
    </w:p>
    <w:p w14:paraId="583ED0FD" w14:textId="77777777" w:rsidR="000C2FB6" w:rsidRPr="00121953" w:rsidRDefault="000C2FB6" w:rsidP="000C2FB6">
      <w:pPr>
        <w:jc w:val="center"/>
        <w:rPr>
          <w:rFonts w:cs="Times New Roman"/>
          <w:szCs w:val="24"/>
        </w:rPr>
      </w:pPr>
      <w:r w:rsidRPr="00121953">
        <w:rPr>
          <w:rFonts w:cs="Times New Roman"/>
          <w:szCs w:val="24"/>
        </w:rPr>
        <w:t>EVAN 525- B03</w:t>
      </w:r>
    </w:p>
    <w:p w14:paraId="7CE46B46" w14:textId="77777777" w:rsidR="000C2FB6" w:rsidRPr="00121953" w:rsidRDefault="000C2FB6" w:rsidP="000C2FB6">
      <w:pPr>
        <w:jc w:val="center"/>
        <w:rPr>
          <w:rFonts w:cs="Times New Roman"/>
          <w:szCs w:val="24"/>
        </w:rPr>
      </w:pPr>
      <w:r w:rsidRPr="00121953">
        <w:rPr>
          <w:rFonts w:cs="Times New Roman"/>
          <w:szCs w:val="24"/>
        </w:rPr>
        <w:t>Contemporary Evangelism</w:t>
      </w:r>
    </w:p>
    <w:p w14:paraId="61F455D0" w14:textId="77777777" w:rsidR="000C2FB6" w:rsidRPr="00121953" w:rsidRDefault="000C2FB6" w:rsidP="000C2FB6">
      <w:pPr>
        <w:jc w:val="center"/>
        <w:rPr>
          <w:rFonts w:cs="Times New Roman"/>
          <w:szCs w:val="24"/>
        </w:rPr>
      </w:pPr>
    </w:p>
    <w:p w14:paraId="758CF04A" w14:textId="77777777" w:rsidR="000C2FB6" w:rsidRPr="00121953" w:rsidRDefault="000C2FB6" w:rsidP="000C2FB6">
      <w:pPr>
        <w:jc w:val="center"/>
        <w:rPr>
          <w:rFonts w:cs="Times New Roman"/>
          <w:szCs w:val="24"/>
        </w:rPr>
      </w:pPr>
    </w:p>
    <w:p w14:paraId="3AEB3E05" w14:textId="77777777" w:rsidR="000C2FB6" w:rsidRPr="00121953" w:rsidRDefault="000C2FB6" w:rsidP="000C2FB6">
      <w:pPr>
        <w:jc w:val="center"/>
        <w:rPr>
          <w:rFonts w:cs="Times New Roman"/>
          <w:szCs w:val="24"/>
        </w:rPr>
      </w:pPr>
      <w:r w:rsidRPr="00121953">
        <w:rPr>
          <w:rFonts w:cs="Times New Roman"/>
          <w:szCs w:val="24"/>
        </w:rPr>
        <w:t>by</w:t>
      </w:r>
    </w:p>
    <w:p w14:paraId="6DB71876" w14:textId="77777777" w:rsidR="000C2FB6" w:rsidRPr="00121953" w:rsidRDefault="000C2FB6" w:rsidP="000C2FB6">
      <w:pPr>
        <w:rPr>
          <w:rFonts w:cs="Times New Roman"/>
          <w:szCs w:val="24"/>
        </w:rPr>
      </w:pPr>
    </w:p>
    <w:p w14:paraId="642F3F8F" w14:textId="53C61E3A" w:rsidR="000C2FB6" w:rsidRPr="00121953" w:rsidRDefault="000C2FB6" w:rsidP="00B216BD">
      <w:pPr>
        <w:jc w:val="center"/>
        <w:rPr>
          <w:rFonts w:cs="Times New Roman"/>
          <w:szCs w:val="24"/>
        </w:rPr>
      </w:pPr>
      <w:r w:rsidRPr="00121953">
        <w:rPr>
          <w:rFonts w:cs="Times New Roman"/>
          <w:szCs w:val="24"/>
        </w:rPr>
        <w:t>Kingsley O. Nyakagwa</w:t>
      </w:r>
    </w:p>
    <w:p w14:paraId="38EBBA6D" w14:textId="622663D3" w:rsidR="000C2FB6" w:rsidRPr="00121953" w:rsidRDefault="000C2FB6" w:rsidP="000C2FB6">
      <w:pPr>
        <w:jc w:val="center"/>
        <w:rPr>
          <w:rFonts w:cs="Times New Roman"/>
          <w:szCs w:val="24"/>
        </w:rPr>
      </w:pPr>
      <w:bookmarkStart w:id="9" w:name="__RefHeading___Toc523_3372919366"/>
      <w:bookmarkStart w:id="10" w:name="__RefHeading___Toc305_3372919366"/>
      <w:bookmarkEnd w:id="9"/>
      <w:bookmarkEnd w:id="10"/>
      <w:r w:rsidRPr="00121953">
        <w:rPr>
          <w:rFonts w:cs="Times New Roman"/>
          <w:szCs w:val="24"/>
        </w:rPr>
        <w:t>May 30, 2021</w:t>
      </w:r>
    </w:p>
    <w:bookmarkStart w:id="11" w:name="_Toc73326369" w:displacedByCustomXml="next"/>
    <w:sdt>
      <w:sdtPr>
        <w:rPr>
          <w:rFonts w:eastAsiaTheme="minorHAnsi" w:cstheme="minorBidi"/>
          <w:b w:val="0"/>
          <w:bCs/>
          <w:color w:val="auto"/>
          <w:szCs w:val="22"/>
        </w:rPr>
        <w:id w:val="-2119129730"/>
        <w:docPartObj>
          <w:docPartGallery w:val="Table of Contents"/>
          <w:docPartUnique/>
        </w:docPartObj>
      </w:sdtPr>
      <w:sdtEndPr>
        <w:rPr>
          <w:rFonts w:cs="Times New Roman"/>
          <w:bCs w:val="0"/>
          <w:noProof/>
          <w:szCs w:val="24"/>
        </w:rPr>
      </w:sdtEndPr>
      <w:sdtContent>
        <w:p w14:paraId="5FA854A3" w14:textId="77777777" w:rsidR="001B35F3" w:rsidRDefault="00DF7AA0" w:rsidP="00F96131">
          <w:pPr>
            <w:pStyle w:val="Heading1"/>
            <w:rPr>
              <w:noProof/>
            </w:rPr>
          </w:pPr>
          <w:r w:rsidRPr="00121953">
            <w:t>Contents</w:t>
          </w:r>
          <w:bookmarkEnd w:id="0"/>
          <w:bookmarkEnd w:id="1"/>
          <w:bookmarkEnd w:id="2"/>
          <w:bookmarkEnd w:id="3"/>
          <w:bookmarkEnd w:id="4"/>
          <w:bookmarkEnd w:id="5"/>
          <w:bookmarkEnd w:id="6"/>
          <w:bookmarkEnd w:id="7"/>
          <w:bookmarkEnd w:id="8"/>
          <w:bookmarkEnd w:id="11"/>
          <w:r w:rsidRPr="00121953">
            <w:rPr>
              <w:rFonts w:eastAsia="Century Gothic"/>
            </w:rPr>
            <w:fldChar w:fldCharType="begin"/>
          </w:r>
          <w:r w:rsidRPr="00121953">
            <w:instrText xml:space="preserve"> TOC \o "1-3" \h \z \u </w:instrText>
          </w:r>
          <w:r w:rsidRPr="00121953">
            <w:rPr>
              <w:rFonts w:eastAsia="Century Gothic"/>
            </w:rPr>
            <w:fldChar w:fldCharType="separate"/>
          </w:r>
        </w:p>
        <w:p w14:paraId="0E5A1DDD" w14:textId="4D180745" w:rsidR="001B35F3" w:rsidRPr="001B35F3" w:rsidRDefault="007215D2">
          <w:pPr>
            <w:pStyle w:val="TOC1"/>
            <w:tabs>
              <w:tab w:val="right" w:leader="dot" w:pos="9350"/>
            </w:tabs>
            <w:rPr>
              <w:rFonts w:ascii="Times New Roman" w:eastAsiaTheme="minorEastAsia" w:hAnsi="Times New Roman" w:cs="Times New Roman"/>
              <w:b/>
              <w:bCs/>
              <w:noProof/>
              <w:sz w:val="22"/>
              <w:szCs w:val="22"/>
            </w:rPr>
          </w:pPr>
          <w:hyperlink w:anchor="_Toc73326370" w:history="1">
            <w:r w:rsidR="001B35F3" w:rsidRPr="001B35F3">
              <w:rPr>
                <w:rStyle w:val="Hyperlink"/>
                <w:rFonts w:ascii="Times New Roman" w:hAnsi="Times New Roman" w:cs="Times New Roman"/>
                <w:b/>
                <w:bCs/>
                <w:noProof/>
              </w:rPr>
              <w:t>Abstract</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_Toc73326370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1B35F3" w:rsidRPr="001B35F3">
              <w:rPr>
                <w:rFonts w:ascii="Times New Roman" w:hAnsi="Times New Roman" w:cs="Times New Roman"/>
                <w:b/>
                <w:bCs/>
                <w:noProof/>
                <w:webHidden/>
              </w:rPr>
              <w:t>1</w:t>
            </w:r>
            <w:r w:rsidR="001B35F3" w:rsidRPr="001B35F3">
              <w:rPr>
                <w:rFonts w:ascii="Times New Roman" w:hAnsi="Times New Roman" w:cs="Times New Roman"/>
                <w:b/>
                <w:bCs/>
                <w:noProof/>
                <w:webHidden/>
              </w:rPr>
              <w:fldChar w:fldCharType="end"/>
            </w:r>
          </w:hyperlink>
        </w:p>
        <w:p w14:paraId="32385ECF" w14:textId="624B64D9" w:rsidR="001B35F3" w:rsidRPr="001B35F3" w:rsidRDefault="007215D2">
          <w:pPr>
            <w:pStyle w:val="TOC1"/>
            <w:tabs>
              <w:tab w:val="right" w:leader="dot" w:pos="9350"/>
            </w:tabs>
            <w:rPr>
              <w:rFonts w:ascii="Times New Roman" w:eastAsiaTheme="minorEastAsia" w:hAnsi="Times New Roman" w:cs="Times New Roman"/>
              <w:b/>
              <w:bCs/>
              <w:noProof/>
              <w:sz w:val="22"/>
              <w:szCs w:val="22"/>
            </w:rPr>
          </w:pPr>
          <w:hyperlink w:anchor="_Toc73326371" w:history="1">
            <w:r w:rsidR="001B35F3" w:rsidRPr="001B35F3">
              <w:rPr>
                <w:rStyle w:val="Hyperlink"/>
                <w:rFonts w:ascii="Times New Roman" w:hAnsi="Times New Roman" w:cs="Times New Roman"/>
                <w:b/>
                <w:bCs/>
                <w:noProof/>
              </w:rPr>
              <w:t>Concrete Response</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_Toc73326371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1B35F3" w:rsidRPr="001B35F3">
              <w:rPr>
                <w:rFonts w:ascii="Times New Roman" w:hAnsi="Times New Roman" w:cs="Times New Roman"/>
                <w:b/>
                <w:bCs/>
                <w:noProof/>
                <w:webHidden/>
              </w:rPr>
              <w:t>2</w:t>
            </w:r>
            <w:r w:rsidR="001B35F3" w:rsidRPr="001B35F3">
              <w:rPr>
                <w:rFonts w:ascii="Times New Roman" w:hAnsi="Times New Roman" w:cs="Times New Roman"/>
                <w:b/>
                <w:bCs/>
                <w:noProof/>
                <w:webHidden/>
              </w:rPr>
              <w:fldChar w:fldCharType="end"/>
            </w:r>
          </w:hyperlink>
        </w:p>
        <w:p w14:paraId="3799F587" w14:textId="626EDE15" w:rsidR="001B35F3" w:rsidRPr="001B35F3" w:rsidRDefault="007215D2">
          <w:pPr>
            <w:pStyle w:val="TOC1"/>
            <w:tabs>
              <w:tab w:val="right" w:leader="dot" w:pos="9350"/>
            </w:tabs>
            <w:rPr>
              <w:rFonts w:ascii="Times New Roman" w:eastAsiaTheme="minorEastAsia" w:hAnsi="Times New Roman" w:cs="Times New Roman"/>
              <w:b/>
              <w:bCs/>
              <w:noProof/>
              <w:sz w:val="22"/>
              <w:szCs w:val="22"/>
            </w:rPr>
          </w:pPr>
          <w:hyperlink w:anchor="_Toc73326372" w:history="1">
            <w:r w:rsidR="001B35F3" w:rsidRPr="001B35F3">
              <w:rPr>
                <w:rStyle w:val="Hyperlink"/>
                <w:rFonts w:ascii="Times New Roman" w:hAnsi="Times New Roman" w:cs="Times New Roman"/>
                <w:b/>
                <w:bCs/>
                <w:noProof/>
              </w:rPr>
              <w:t>Reflection</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_Toc73326372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1B35F3" w:rsidRPr="001B35F3">
              <w:rPr>
                <w:rFonts w:ascii="Times New Roman" w:hAnsi="Times New Roman" w:cs="Times New Roman"/>
                <w:b/>
                <w:bCs/>
                <w:noProof/>
                <w:webHidden/>
              </w:rPr>
              <w:t>3</w:t>
            </w:r>
            <w:r w:rsidR="001B35F3" w:rsidRPr="001B35F3">
              <w:rPr>
                <w:rFonts w:ascii="Times New Roman" w:hAnsi="Times New Roman" w:cs="Times New Roman"/>
                <w:b/>
                <w:bCs/>
                <w:noProof/>
                <w:webHidden/>
              </w:rPr>
              <w:fldChar w:fldCharType="end"/>
            </w:r>
          </w:hyperlink>
        </w:p>
        <w:p w14:paraId="286D1D14" w14:textId="61D86DD7" w:rsidR="001B35F3" w:rsidRPr="001B35F3" w:rsidRDefault="007215D2">
          <w:pPr>
            <w:pStyle w:val="TOC1"/>
            <w:tabs>
              <w:tab w:val="right" w:leader="dot" w:pos="9350"/>
            </w:tabs>
            <w:rPr>
              <w:rFonts w:ascii="Times New Roman" w:eastAsiaTheme="minorEastAsia" w:hAnsi="Times New Roman" w:cs="Times New Roman"/>
              <w:b/>
              <w:bCs/>
              <w:noProof/>
              <w:sz w:val="22"/>
              <w:szCs w:val="22"/>
            </w:rPr>
          </w:pPr>
          <w:hyperlink w:anchor="_Toc73326373" w:history="1">
            <w:r w:rsidR="001B35F3" w:rsidRPr="001B35F3">
              <w:rPr>
                <w:rStyle w:val="Hyperlink"/>
                <w:rFonts w:ascii="Times New Roman" w:hAnsi="Times New Roman" w:cs="Times New Roman"/>
                <w:b/>
                <w:bCs/>
                <w:noProof/>
              </w:rPr>
              <w:t>Action Steps</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_Toc73326373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1B35F3" w:rsidRPr="001B35F3">
              <w:rPr>
                <w:rFonts w:ascii="Times New Roman" w:hAnsi="Times New Roman" w:cs="Times New Roman"/>
                <w:b/>
                <w:bCs/>
                <w:noProof/>
                <w:webHidden/>
              </w:rPr>
              <w:t>4</w:t>
            </w:r>
            <w:r w:rsidR="001B35F3" w:rsidRPr="001B35F3">
              <w:rPr>
                <w:rFonts w:ascii="Times New Roman" w:hAnsi="Times New Roman" w:cs="Times New Roman"/>
                <w:b/>
                <w:bCs/>
                <w:noProof/>
                <w:webHidden/>
              </w:rPr>
              <w:fldChar w:fldCharType="end"/>
            </w:r>
          </w:hyperlink>
        </w:p>
        <w:p w14:paraId="7D01445B" w14:textId="31FB30CC" w:rsidR="001B35F3" w:rsidRPr="001B35F3" w:rsidRDefault="007215D2">
          <w:pPr>
            <w:pStyle w:val="TOC1"/>
            <w:tabs>
              <w:tab w:val="right" w:leader="dot" w:pos="9350"/>
            </w:tabs>
            <w:rPr>
              <w:rFonts w:ascii="Times New Roman" w:eastAsiaTheme="minorEastAsia" w:hAnsi="Times New Roman" w:cs="Times New Roman"/>
              <w:b/>
              <w:bCs/>
              <w:noProof/>
              <w:sz w:val="22"/>
              <w:szCs w:val="22"/>
            </w:rPr>
          </w:pPr>
          <w:hyperlink w:anchor="_Toc73326374" w:history="1">
            <w:r w:rsidR="001B35F3" w:rsidRPr="001B35F3">
              <w:rPr>
                <w:rStyle w:val="Hyperlink"/>
                <w:rFonts w:ascii="Times New Roman" w:hAnsi="Times New Roman" w:cs="Times New Roman"/>
                <w:b/>
                <w:bCs/>
                <w:noProof/>
              </w:rPr>
              <w:t>Bibliography</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_Toc73326374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1B35F3" w:rsidRPr="001B35F3">
              <w:rPr>
                <w:rFonts w:ascii="Times New Roman" w:hAnsi="Times New Roman" w:cs="Times New Roman"/>
                <w:b/>
                <w:bCs/>
                <w:noProof/>
                <w:webHidden/>
              </w:rPr>
              <w:t>7</w:t>
            </w:r>
            <w:r w:rsidR="001B35F3" w:rsidRPr="001B35F3">
              <w:rPr>
                <w:rFonts w:ascii="Times New Roman" w:hAnsi="Times New Roman" w:cs="Times New Roman"/>
                <w:b/>
                <w:bCs/>
                <w:noProof/>
                <w:webHidden/>
              </w:rPr>
              <w:fldChar w:fldCharType="end"/>
            </w:r>
          </w:hyperlink>
        </w:p>
        <w:p w14:paraId="077F3532" w14:textId="6129C11A" w:rsidR="00DF7AA0" w:rsidRPr="00121953" w:rsidRDefault="00DF7AA0" w:rsidP="00DE5146">
          <w:pPr>
            <w:rPr>
              <w:rFonts w:cs="Times New Roman"/>
              <w:szCs w:val="24"/>
            </w:rPr>
            <w:sectPr w:rsidR="00DF7AA0" w:rsidRPr="00121953"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121953">
            <w:rPr>
              <w:rFonts w:cs="Times New Roman"/>
              <w:b/>
              <w:bCs/>
              <w:noProof/>
              <w:szCs w:val="24"/>
            </w:rPr>
            <w:fldChar w:fldCharType="end"/>
          </w:r>
        </w:p>
      </w:sdtContent>
    </w:sdt>
    <w:p w14:paraId="480004F4" w14:textId="77777777" w:rsidR="001F585E" w:rsidRDefault="001F585E" w:rsidP="00DE5146">
      <w:pPr>
        <w:pStyle w:val="Heading1"/>
        <w:jc w:val="left"/>
      </w:pPr>
      <w:bookmarkStart w:id="12" w:name="_Toc73326370"/>
    </w:p>
    <w:p w14:paraId="11FC7F6E" w14:textId="50E5EA3C" w:rsidR="00F630B3" w:rsidRDefault="000C2FB6" w:rsidP="00F96131">
      <w:pPr>
        <w:pStyle w:val="Heading1"/>
      </w:pPr>
      <w:r w:rsidRPr="00121953">
        <w:t>Abstract</w:t>
      </w:r>
      <w:bookmarkEnd w:id="12"/>
    </w:p>
    <w:p w14:paraId="75198DB4" w14:textId="38DD14E4" w:rsidR="00DE5146" w:rsidRDefault="00DE5146" w:rsidP="00DE5146">
      <w:pPr>
        <w:pStyle w:val="NormalWeb"/>
        <w:spacing w:before="0" w:beforeAutospacing="0" w:after="0" w:afterAutospacing="0" w:line="480" w:lineRule="auto"/>
        <w:ind w:firstLine="720"/>
        <w:rPr>
          <w:color w:val="0E101A"/>
        </w:rPr>
      </w:pPr>
      <w:r>
        <w:rPr>
          <w:color w:val="0E101A"/>
        </w:rPr>
        <w:t>Vernon Whaley and David Wheeler’s book </w:t>
      </w:r>
      <w:r>
        <w:rPr>
          <w:rStyle w:val="Emphasis"/>
          <w:color w:val="0E101A"/>
        </w:rPr>
        <w:t>The Great Commission to Worship </w:t>
      </w:r>
      <w:r>
        <w:rPr>
          <w:color w:val="0E101A"/>
        </w:rPr>
        <w:t>is a rallying call for Christians to be living examples of worship that insist on evangelism. The purpose of this book is to address a basic issue of interpretation about worship and evangelism and how they impact a believer’s obedience to the Great Commission.</w:t>
      </w:r>
      <w:r w:rsidRPr="00121953">
        <w:rPr>
          <w:rStyle w:val="FootnoteReference"/>
          <w:sz w:val="24"/>
        </w:rPr>
        <w:footnoteReference w:id="1"/>
      </w:r>
      <w:r>
        <w:rPr>
          <w:color w:val="0E101A"/>
        </w:rPr>
        <w:t> The poignant argument that Whaley and Wheeler would want to consider is whether worship and evangelism should be treated as two separate concepts or should be lived out as unified expressions of obedience. Whaley and Wheeler conclude that there is a symbiotic relationship between evangelism and worship. To begin with, they highlight various misconceptions that come along if these definitions are not well articulated. One of these misconceptions is that believers tend to treat evangelism as an event or action and worship as something that happens on Sunday morning. For definition’s sake, the authors assert, “At its core, evangelism is the “good news” of Christ and therefore must be embraced as a lifestyle by every Christ-follower.”</w:t>
      </w:r>
      <w:r w:rsidRPr="00DE5146">
        <w:rPr>
          <w:rStyle w:val="FootnoteReference"/>
          <w:sz w:val="24"/>
        </w:rPr>
        <w:t xml:space="preserve"> </w:t>
      </w:r>
      <w:r w:rsidRPr="00121953">
        <w:rPr>
          <w:rStyle w:val="FootnoteReference"/>
          <w:sz w:val="24"/>
        </w:rPr>
        <w:footnoteReference w:id="2"/>
      </w:r>
      <w:r>
        <w:rPr>
          <w:color w:val="0E101A"/>
        </w:rPr>
        <w:t> Regarding worship, Whaley and Wheeler use Mark 12:30 as a definition. To Worship is to "Love the Lord your God with all your heart and with all your soul and with all your mind and with all your strength.”</w:t>
      </w:r>
      <w:r w:rsidRPr="00DE5146">
        <w:rPr>
          <w:rStyle w:val="FootnoteReference"/>
          <w:color w:val="000000"/>
          <w:sz w:val="24"/>
          <w:shd w:val="clear" w:color="auto" w:fill="FFFFFF"/>
        </w:rPr>
        <w:t xml:space="preserve"> </w:t>
      </w:r>
      <w:r w:rsidRPr="00121953">
        <w:rPr>
          <w:rStyle w:val="FootnoteReference"/>
          <w:color w:val="000000"/>
          <w:sz w:val="24"/>
          <w:shd w:val="clear" w:color="auto" w:fill="FFFFFF"/>
        </w:rPr>
        <w:footnoteReference w:id="3"/>
      </w:r>
    </w:p>
    <w:p w14:paraId="1F57F1D7" w14:textId="45118C95" w:rsidR="00DE5146" w:rsidRPr="00DE5146" w:rsidRDefault="00DE5146" w:rsidP="00DE5146">
      <w:pPr>
        <w:pStyle w:val="NormalWeb"/>
        <w:spacing w:before="0" w:beforeAutospacing="0" w:after="0" w:afterAutospacing="0" w:line="480" w:lineRule="auto"/>
        <w:ind w:firstLine="720"/>
        <w:rPr>
          <w:color w:val="0E101A"/>
        </w:rPr>
      </w:pPr>
      <w:r>
        <w:rPr>
          <w:color w:val="0E101A"/>
        </w:rPr>
        <w:t xml:space="preserve">After defining evangelism and worship (and stating what it is and what it is not), Whaley and Wheeler go a step farther to explain and combine the two in what they call the Great commission worship. The </w:t>
      </w:r>
      <w:r w:rsidR="00DD0D8B">
        <w:rPr>
          <w:color w:val="0E101A"/>
        </w:rPr>
        <w:t>Great Commission</w:t>
      </w:r>
      <w:r>
        <w:rPr>
          <w:color w:val="0E101A"/>
        </w:rPr>
        <w:t xml:space="preserve"> worship</w:t>
      </w:r>
      <w:r w:rsidR="002401B1">
        <w:rPr>
          <w:color w:val="0E101A"/>
        </w:rPr>
        <w:t xml:space="preserve"> (GCW)</w:t>
      </w:r>
      <w:r>
        <w:rPr>
          <w:color w:val="0E101A"/>
        </w:rPr>
        <w:t xml:space="preserve"> is formational</w:t>
      </w:r>
      <w:r w:rsidR="00DD0D8B">
        <w:rPr>
          <w:color w:val="0E101A"/>
        </w:rPr>
        <w:t xml:space="preserve">. It is formational in </w:t>
      </w:r>
      <w:r w:rsidR="00DD0D8B">
        <w:rPr>
          <w:color w:val="0E101A"/>
        </w:rPr>
        <w:lastRenderedPageBreak/>
        <w:t xml:space="preserve">the sense that the </w:t>
      </w:r>
      <w:r w:rsidR="00DD0D8B" w:rsidRPr="00DD0D8B">
        <w:rPr>
          <w:color w:val="0E101A"/>
        </w:rPr>
        <w:t xml:space="preserve">worship of God and the work </w:t>
      </w:r>
      <w:r w:rsidR="00DD0D8B">
        <w:rPr>
          <w:color w:val="0E101A"/>
        </w:rPr>
        <w:t>believers</w:t>
      </w:r>
      <w:r w:rsidR="00DD0D8B" w:rsidRPr="00DD0D8B">
        <w:rPr>
          <w:color w:val="0E101A"/>
        </w:rPr>
        <w:t xml:space="preserve"> do for God shape </w:t>
      </w:r>
      <w:r w:rsidR="00DD0D8B">
        <w:rPr>
          <w:color w:val="0E101A"/>
        </w:rPr>
        <w:t>their</w:t>
      </w:r>
      <w:r w:rsidR="00DD0D8B" w:rsidRPr="00DD0D8B">
        <w:rPr>
          <w:color w:val="0E101A"/>
        </w:rPr>
        <w:t xml:space="preserve"> character, build integrity, and mold </w:t>
      </w:r>
      <w:r w:rsidR="00DD0D8B">
        <w:rPr>
          <w:color w:val="0E101A"/>
        </w:rPr>
        <w:t>their</w:t>
      </w:r>
      <w:r w:rsidR="00DD0D8B" w:rsidRPr="00DD0D8B">
        <w:rPr>
          <w:color w:val="0E101A"/>
        </w:rPr>
        <w:t xml:space="preserve"> testimony</w:t>
      </w:r>
      <w:r w:rsidR="00DD0D8B">
        <w:rPr>
          <w:color w:val="0E101A"/>
        </w:rPr>
        <w:t>.</w:t>
      </w:r>
      <w:r w:rsidR="002401B1">
        <w:rPr>
          <w:color w:val="0E101A"/>
        </w:rPr>
        <w:t xml:space="preserve"> The Great Commission Worship is also</w:t>
      </w:r>
      <w:r>
        <w:rPr>
          <w:color w:val="0E101A"/>
        </w:rPr>
        <w:t xml:space="preserve"> transformational</w:t>
      </w:r>
      <w:r w:rsidR="002401B1">
        <w:rPr>
          <w:color w:val="0E101A"/>
        </w:rPr>
        <w:t xml:space="preserve">. As believers engage in witnessing, their lives and those they are reaching out to are changed. Also, GCW is </w:t>
      </w:r>
      <w:r>
        <w:rPr>
          <w:color w:val="0E101A"/>
        </w:rPr>
        <w:t>relational</w:t>
      </w:r>
      <w:r w:rsidR="002401B1">
        <w:rPr>
          <w:color w:val="0E101A"/>
        </w:rPr>
        <w:t>. Believers ought to be aware that worship is about developing a vertical and horizontal relationship</w:t>
      </w:r>
      <w:r w:rsidR="00DD1BC9">
        <w:rPr>
          <w:color w:val="0E101A"/>
        </w:rPr>
        <w:t xml:space="preserve">. Fourthly, GCW is </w:t>
      </w:r>
      <w:r>
        <w:rPr>
          <w:color w:val="0E101A"/>
        </w:rPr>
        <w:t>missional</w:t>
      </w:r>
      <w:r w:rsidR="00DD1BC9">
        <w:rPr>
          <w:color w:val="0E101A"/>
        </w:rPr>
        <w:t xml:space="preserve">. By this </w:t>
      </w:r>
      <w:r w:rsidR="00DD1BC9">
        <w:rPr>
          <w:color w:val="0E101A"/>
        </w:rPr>
        <w:t>Whaley and Wheeler</w:t>
      </w:r>
      <w:r w:rsidR="00DD1BC9">
        <w:rPr>
          <w:color w:val="0E101A"/>
        </w:rPr>
        <w:t xml:space="preserve"> mean a believer should d</w:t>
      </w:r>
      <w:r w:rsidR="00DD1BC9" w:rsidRPr="00DD1BC9">
        <w:rPr>
          <w:color w:val="0E101A"/>
        </w:rPr>
        <w:t>aily liv</w:t>
      </w:r>
      <w:r w:rsidR="00DD1BC9">
        <w:rPr>
          <w:color w:val="0E101A"/>
        </w:rPr>
        <w:t>e</w:t>
      </w:r>
      <w:r w:rsidR="00DD1BC9" w:rsidRPr="00DD1BC9">
        <w:rPr>
          <w:color w:val="0E101A"/>
        </w:rPr>
        <w:t xml:space="preserve"> out an authentic and intentional life of worship that embodies the ministry passions of Christ.</w:t>
      </w:r>
      <w:r w:rsidR="00DD1BC9">
        <w:rPr>
          <w:rStyle w:val="FootnoteReference"/>
          <w:color w:val="0E101A"/>
        </w:rPr>
        <w:footnoteReference w:id="4"/>
      </w:r>
      <w:r w:rsidR="00DD1BC9" w:rsidRPr="00DD1BC9">
        <w:rPr>
          <w:color w:val="0E101A"/>
        </w:rPr>
        <w:t xml:space="preserve"> </w:t>
      </w:r>
      <w:r w:rsidR="00DD1BC9">
        <w:rPr>
          <w:color w:val="0E101A"/>
        </w:rPr>
        <w:t xml:space="preserve">Finally GCW is </w:t>
      </w:r>
      <w:r>
        <w:rPr>
          <w:color w:val="0E101A"/>
        </w:rPr>
        <w:t>reproducible.</w:t>
      </w:r>
      <w:r w:rsidR="00DD1BC9">
        <w:rPr>
          <w:color w:val="0E101A"/>
        </w:rPr>
        <w:t xml:space="preserve"> </w:t>
      </w:r>
      <w:r w:rsidR="00DD1BC9">
        <w:rPr>
          <w:color w:val="0E101A"/>
        </w:rPr>
        <w:t>Whaley and Wheeler</w:t>
      </w:r>
      <w:r w:rsidR="00DD1BC9">
        <w:rPr>
          <w:color w:val="0E101A"/>
        </w:rPr>
        <w:t xml:space="preserve"> explain that individuals must multiply by making more followers of Christ.</w:t>
      </w:r>
      <w:r w:rsidR="00E25E34">
        <w:rPr>
          <w:rStyle w:val="FootnoteReference"/>
          <w:color w:val="0E101A"/>
        </w:rPr>
        <w:footnoteReference w:id="5"/>
      </w:r>
    </w:p>
    <w:p w14:paraId="7EBFAD57" w14:textId="5E7A7ED4" w:rsidR="00ED04CE" w:rsidRPr="00121953" w:rsidRDefault="000C2FB6" w:rsidP="00F96131">
      <w:pPr>
        <w:pStyle w:val="Heading1"/>
      </w:pPr>
      <w:bookmarkStart w:id="13" w:name="_Toc73326371"/>
      <w:r w:rsidRPr="00121953">
        <w:t>Concrete Response</w:t>
      </w:r>
      <w:bookmarkEnd w:id="13"/>
    </w:p>
    <w:p w14:paraId="6B52C72C" w14:textId="77777777" w:rsidR="00C05C7F" w:rsidRPr="00C05C7F" w:rsidRDefault="00C05C7F" w:rsidP="00C05C7F">
      <w:pPr>
        <w:ind w:firstLine="720"/>
        <w:rPr>
          <w:rFonts w:cs="Times New Roman"/>
          <w:szCs w:val="24"/>
        </w:rPr>
      </w:pPr>
      <w:r w:rsidRPr="00C05C7F">
        <w:rPr>
          <w:rFonts w:cs="Times New Roman"/>
          <w:szCs w:val="24"/>
        </w:rPr>
        <w:t xml:space="preserve">While reading the book, I discovered that I held a wrong understanding of the relationship between worship and evangelism. I grew up in a church that took evangelism as a department within the church. Even now, I have to admit that my current church has not always properly defined evangelism. Though there is a great emphasis on worship, it is hardly in sync with evangelism. Evangelism is a ministry that falls under our global missions and outreach department. Now, there is nothing wrong with this. However, often this compartmentalizing comes across to mean that evangelism is a specialty for some people. At least that’s how I felt for most of my young adult life. Things changed in my final year when I had the Lord calling me to missions. I did not exactly know how my life would be. I frowned upon missions because I somehow thought that doing missions was sentencing myself to poverty. Nonetheless, after six months of constant nudges by the Holy Spirit, I surrendered to God. I accepted to do it. I had no </w:t>
      </w:r>
      <w:r w:rsidRPr="00C05C7F">
        <w:rPr>
          <w:rFonts w:cs="Times New Roman"/>
          <w:szCs w:val="24"/>
        </w:rPr>
        <w:lastRenderedPageBreak/>
        <w:t>other reservations. Joining missions had taken my everything. I had nothing more to lose. Reflecting on this book, I felt a tad fulfilled seeing that the author said much of what I am already doing.</w:t>
      </w:r>
    </w:p>
    <w:p w14:paraId="6CE141E5" w14:textId="62436396" w:rsidR="009A2C33" w:rsidRPr="00121953" w:rsidRDefault="00C05C7F" w:rsidP="00C05C7F">
      <w:pPr>
        <w:ind w:firstLine="720"/>
        <w:rPr>
          <w:rFonts w:cs="Times New Roman"/>
          <w:szCs w:val="24"/>
        </w:rPr>
      </w:pPr>
      <w:r w:rsidRPr="00C05C7F">
        <w:rPr>
          <w:rFonts w:cs="Times New Roman"/>
          <w:szCs w:val="24"/>
        </w:rPr>
        <w:t>Whaley and Wheeler syncing together worship and evangelism is an affirmation. Thinking of evangelism as completing worship is profound to me. As a missionary and pastor, I would like to help people see it that way. I would like people to see evangelism as they see worship, that it is a lifestyle that everyone should participate. In a nutshell, worship has everything to do with evangelism and vice versa. Without worship, evangelism would be meaningless. Without evangelism, worship would be incomplete.</w:t>
      </w:r>
    </w:p>
    <w:p w14:paraId="292F8737" w14:textId="101F1E2A" w:rsidR="00ED04CE" w:rsidRPr="00121953" w:rsidRDefault="000C2FB6" w:rsidP="00F96131">
      <w:pPr>
        <w:pStyle w:val="Heading1"/>
      </w:pPr>
      <w:bookmarkStart w:id="14" w:name="_Toc73326372"/>
      <w:r w:rsidRPr="00121953">
        <w:t>Reflection</w:t>
      </w:r>
      <w:bookmarkEnd w:id="14"/>
    </w:p>
    <w:p w14:paraId="6A2653B5" w14:textId="67906D93" w:rsidR="00C05C7F" w:rsidRDefault="00C05C7F" w:rsidP="00C05C7F">
      <w:pPr>
        <w:pStyle w:val="NormalWeb"/>
        <w:spacing w:before="0" w:beforeAutospacing="0" w:after="0" w:afterAutospacing="0" w:line="480" w:lineRule="auto"/>
        <w:ind w:firstLine="720"/>
        <w:rPr>
          <w:color w:val="0E101A"/>
        </w:rPr>
      </w:pPr>
      <w:r>
        <w:rPr>
          <w:color w:val="0E101A"/>
        </w:rPr>
        <w:t>Vernon Whaley and David Wheeler’s book though sufficiently explains the symbiotic relationship that exists between evangelism and worship, the book turns problematic in relating evangelism to discipleship. The ninth chapter makes serious demands on the multiplication of disciples. One of the questions the chapter raises is: is it possible that someone can be a Christian even though they do not tell another about Jesus? Whaley and Wheeler seem to suggest that someone cannot be a Christian unless they reproduce: “Without this full cycle of reproduction being evident in a person’s life, I believe he or she is hard-pressed to wear the name of Christ with dignity. If the goal is to become a worshipper of God, then obedience must be the driving force. How can there be obedience to Christ without joining Him on the mission as His witnesses (Acts 1:8)?”</w:t>
      </w:r>
      <w:r w:rsidRPr="00C05C7F">
        <w:rPr>
          <w:rStyle w:val="FootnoteReference"/>
        </w:rPr>
        <w:t xml:space="preserve"> </w:t>
      </w:r>
      <w:r>
        <w:rPr>
          <w:rStyle w:val="FootnoteReference"/>
        </w:rPr>
        <w:footnoteReference w:id="6"/>
      </w:r>
      <w:r>
        <w:t xml:space="preserve"> </w:t>
      </w:r>
      <w:r>
        <w:rPr>
          <w:color w:val="0E101A"/>
        </w:rPr>
        <w:t>If someone can lose their salvation because they not witness to others, then most likely a new rule is being drawn here on what salvation is.</w:t>
      </w:r>
    </w:p>
    <w:p w14:paraId="5B66290F" w14:textId="49128BF7" w:rsidR="00C05C7F" w:rsidRDefault="00C05C7F" w:rsidP="00C05C7F">
      <w:pPr>
        <w:pStyle w:val="NormalWeb"/>
        <w:spacing w:before="0" w:beforeAutospacing="0" w:after="0" w:afterAutospacing="0" w:line="480" w:lineRule="auto"/>
        <w:ind w:firstLine="720"/>
        <w:rPr>
          <w:color w:val="0E101A"/>
        </w:rPr>
      </w:pPr>
      <w:r>
        <w:rPr>
          <w:color w:val="0E101A"/>
        </w:rPr>
        <w:lastRenderedPageBreak/>
        <w:t>Vernon Whaley and David Wheeler also do not elaborate on the interdependence between evangelism and discipleship. They say, “The truth is, evangelism and discipleship are uniquely dependent on each other.”</w:t>
      </w:r>
      <w:r w:rsidRPr="00C05C7F">
        <w:rPr>
          <w:rStyle w:val="FootnoteReference"/>
        </w:rPr>
        <w:t xml:space="preserve"> </w:t>
      </w:r>
      <w:r>
        <w:rPr>
          <w:rStyle w:val="FootnoteReference"/>
        </w:rPr>
        <w:footnoteReference w:id="7"/>
      </w:r>
      <w:r>
        <w:rPr>
          <w:color w:val="0E101A"/>
        </w:rPr>
        <w:t> One would expect them to explain further this dependence to clarify its importance. Sadly, they do not. Of course, for someone who has gone through discipleship, it is easier to tell how but assuming that there could be some who are not trained, this book’s selfishness with details may leave one confused.</w:t>
      </w:r>
    </w:p>
    <w:p w14:paraId="488115B4" w14:textId="61E7569E" w:rsidR="00C05C7F" w:rsidRPr="00E02690" w:rsidRDefault="00C05C7F" w:rsidP="00E02690">
      <w:pPr>
        <w:pStyle w:val="NormalWeb"/>
        <w:spacing w:before="0" w:beforeAutospacing="0" w:after="0" w:afterAutospacing="0" w:line="480" w:lineRule="auto"/>
        <w:ind w:firstLine="720"/>
        <w:rPr>
          <w:color w:val="0E101A"/>
        </w:rPr>
      </w:pPr>
      <w:r>
        <w:rPr>
          <w:color w:val="0E101A"/>
        </w:rPr>
        <w:t>Finally, the imagery that the phrase “cyclical” problematic. ‘Though Whaley and Wheeler define cyclical discipleship as a process in which the one who is being discipled learns to multiply their witness through sharing Christ with unsaved people, the imagery it sets forth could be misleading. The impression it creates on the reader is that of endlessness. To some extent, discipleship should indeed be endless. However, how practical and realistic is that? Does discipleship not have a start and an end?</w:t>
      </w:r>
    </w:p>
    <w:p w14:paraId="06278428" w14:textId="3146C7B7" w:rsidR="00ED04CE" w:rsidRPr="00121953" w:rsidRDefault="000C2FB6" w:rsidP="00F96131">
      <w:pPr>
        <w:pStyle w:val="Heading1"/>
      </w:pPr>
      <w:bookmarkStart w:id="15" w:name="_Toc73326373"/>
      <w:r w:rsidRPr="00121953">
        <w:t>Action</w:t>
      </w:r>
      <w:r w:rsidR="00B216BD" w:rsidRPr="00121953">
        <w:t xml:space="preserve"> Steps</w:t>
      </w:r>
      <w:bookmarkEnd w:id="15"/>
    </w:p>
    <w:p w14:paraId="25C0FD9B" w14:textId="02F2D786" w:rsidR="00E02690" w:rsidRDefault="00E02690" w:rsidP="00E02690">
      <w:pPr>
        <w:pStyle w:val="NormalWeb"/>
        <w:spacing w:before="0" w:beforeAutospacing="0" w:after="0" w:afterAutospacing="0" w:line="480" w:lineRule="auto"/>
        <w:ind w:firstLine="720"/>
        <w:rPr>
          <w:color w:val="0E101A"/>
        </w:rPr>
      </w:pPr>
      <w:r>
        <w:rPr>
          <w:color w:val="0E101A"/>
        </w:rPr>
        <w:t>As I read the book, few thoughts stood out for me that I would like to carry out. Currently serving as a missionary, I had to probe my heart a little bit more to know what else I could do. The reason is that back in my mind a thought kept insisting that what I’m doing is enough. However, to challenge me I undertake to take the following action steps:</w:t>
      </w:r>
    </w:p>
    <w:p w14:paraId="77CDF4AD" w14:textId="77777777" w:rsidR="00E02690" w:rsidRDefault="00E02690" w:rsidP="00E02690">
      <w:pPr>
        <w:pStyle w:val="NormalWeb"/>
        <w:spacing w:before="0" w:beforeAutospacing="0" w:after="0" w:afterAutospacing="0" w:line="480" w:lineRule="auto"/>
        <w:ind w:firstLine="720"/>
        <w:rPr>
          <w:color w:val="0E101A"/>
        </w:rPr>
      </w:pPr>
      <w:r>
        <w:rPr>
          <w:color w:val="0E101A"/>
        </w:rPr>
        <w:t xml:space="preserve">First, as urgent as now, I have made up my mind to stop compartmentalizing evangelism, worship, and discipleship. Though I admit this might be a difficult thing to do -considering how I have grown to observe our church, I still commit to unlearning how I view evangelism. I also commit to eradicating the attitude of selfish indifference from the realm of acceptable behavior. I </w:t>
      </w:r>
      <w:r>
        <w:rPr>
          <w:color w:val="0E101A"/>
        </w:rPr>
        <w:lastRenderedPageBreak/>
        <w:t>believe change begins when the mindset changes. To boost my mindset change, I intend to read a book every month on the subject of evangelism as a lifestyle.</w:t>
      </w:r>
    </w:p>
    <w:p w14:paraId="33309B17" w14:textId="66B9BEF0" w:rsidR="00E02690" w:rsidRDefault="00E02690" w:rsidP="00E02690">
      <w:pPr>
        <w:pStyle w:val="NormalWeb"/>
        <w:spacing w:before="0" w:beforeAutospacing="0" w:after="0" w:afterAutospacing="0" w:line="480" w:lineRule="auto"/>
        <w:ind w:firstLine="720"/>
        <w:rPr>
          <w:color w:val="0E101A"/>
        </w:rPr>
      </w:pPr>
      <w:r>
        <w:rPr>
          <w:color w:val="0E101A"/>
        </w:rPr>
        <w:t xml:space="preserve">Another action step that I intend to follow through is to train local pastors and youth leaders (where I currently serve as a missionary) to embrace the </w:t>
      </w:r>
      <w:r w:rsidR="00DD0D8B">
        <w:rPr>
          <w:color w:val="0E101A"/>
        </w:rPr>
        <w:t>Great Commission</w:t>
      </w:r>
      <w:r>
        <w:rPr>
          <w:color w:val="0E101A"/>
        </w:rPr>
        <w:t xml:space="preserve"> worship. By the end of this year, I intend to do three pieces of training in which I would help these leaders have a new perspective on evangelism. Hosea 4: 6 says, “My people are destroyed from lack of knowledge.” Most of the time, we fail to carry out the </w:t>
      </w:r>
      <w:r w:rsidR="00DD0D8B">
        <w:rPr>
          <w:color w:val="0E101A"/>
        </w:rPr>
        <w:t>Great Commission</w:t>
      </w:r>
      <w:r>
        <w:rPr>
          <w:color w:val="0E101A"/>
        </w:rPr>
        <w:t xml:space="preserve"> because we have not been taught how to go about it. The evangelism that happens in the village is eventful. As a result, the village is still one of the least reached ethnic groups in the whole of Kenya. My understanding is that if this ethnic group is to come to know the Lord Jesus Christ it would need </w:t>
      </w:r>
      <w:r w:rsidR="00DD0D8B">
        <w:rPr>
          <w:color w:val="0E101A"/>
        </w:rPr>
        <w:t>Great Commission</w:t>
      </w:r>
      <w:r>
        <w:rPr>
          <w:color w:val="0E101A"/>
        </w:rPr>
        <w:t xml:space="preserve"> worship that is relational. The few local church leaders around lack training in ministering to people of other faiths especially Muslims.</w:t>
      </w:r>
    </w:p>
    <w:p w14:paraId="6ABAA023" w14:textId="3BDF16BB" w:rsidR="00E02690" w:rsidRDefault="00E02690" w:rsidP="00E02690">
      <w:pPr>
        <w:pStyle w:val="NormalWeb"/>
        <w:spacing w:before="0" w:beforeAutospacing="0" w:after="0" w:afterAutospacing="0" w:line="480" w:lineRule="auto"/>
        <w:ind w:firstLine="720"/>
        <w:rPr>
          <w:color w:val="0E101A"/>
        </w:rPr>
      </w:pPr>
      <w:r>
        <w:rPr>
          <w:color w:val="0E101A"/>
        </w:rPr>
        <w:t>Besides, this plan would need finances. Since I have financial constraints at the moment, I would write a proposal to present to my sending church so that they can fund the training sessions. The training shall bring together about 30 church leaders. These church leaders would need refreshments for the day. Also, they would need writing material (paper and pen). </w:t>
      </w:r>
    </w:p>
    <w:p w14:paraId="149E564E" w14:textId="26F4B693" w:rsidR="00E02690" w:rsidRDefault="00E02690" w:rsidP="00E02690">
      <w:pPr>
        <w:pStyle w:val="NormalWeb"/>
        <w:spacing w:before="0" w:beforeAutospacing="0" w:after="0" w:afterAutospacing="0" w:line="480" w:lineRule="auto"/>
        <w:ind w:firstLine="720"/>
        <w:rPr>
          <w:color w:val="0E101A"/>
        </w:rPr>
      </w:pPr>
      <w:r>
        <w:rPr>
          <w:color w:val="0E101A"/>
        </w:rPr>
        <w:t xml:space="preserve">My final action step is prayer. By the end of this sub-term, I purpose to pray at least four times for the five people that I am reaching out to and discipling to become mature in Christ. my prayers shall be mostly at noon before lunchtime every other day of the week. Since I reach out to Muslim, it makes sense to pray at the time Muslims offer prayers. Thompson once said, “A person can never lead another closer to the Lord than he or she already is. Evangelism must flow </w:t>
      </w:r>
      <w:r>
        <w:rPr>
          <w:color w:val="0E101A"/>
        </w:rPr>
        <w:lastRenderedPageBreak/>
        <w:t>from a life that is deeply in love with the Lord.”</w:t>
      </w:r>
      <w:r w:rsidRPr="00E02690">
        <w:rPr>
          <w:rStyle w:val="FootnoteReference"/>
          <w:sz w:val="24"/>
        </w:rPr>
        <w:t xml:space="preserve"> </w:t>
      </w:r>
      <w:r w:rsidRPr="00121953">
        <w:rPr>
          <w:rStyle w:val="FootnoteReference"/>
          <w:sz w:val="24"/>
        </w:rPr>
        <w:footnoteReference w:id="8"/>
      </w:r>
      <w:r>
        <w:rPr>
          <w:color w:val="0E101A"/>
        </w:rPr>
        <w:t> If I am to model a great relationship with Jesus, then I must draw closer to Him in prayer. From the scriptures, it is evident that Jesus is not as much interested in what we do for him than what we become in him. The apostle Marks correctly depicts Christ's main intent for calling his disciples. Mark observes, he called them first so that they could be with him (Mark 3:14, NIV). He would not have sent his disciples out if they had not known him intimately. Praying and studying the word of God is the way to know him intimately.</w:t>
      </w:r>
    </w:p>
    <w:p w14:paraId="19619DEB" w14:textId="45BA4927" w:rsidR="00E02690" w:rsidRDefault="00E02690" w:rsidP="00E02690">
      <w:pPr>
        <w:pStyle w:val="NormalWeb"/>
        <w:spacing w:before="0" w:beforeAutospacing="0" w:after="0" w:afterAutospacing="0" w:line="480" w:lineRule="auto"/>
        <w:ind w:firstLine="720"/>
        <w:rPr>
          <w:color w:val="0E101A"/>
        </w:rPr>
      </w:pPr>
      <w:r>
        <w:rPr>
          <w:color w:val="0E101A"/>
        </w:rPr>
        <w:t>Also, my prayer will include praying with the five people on my list if they would let me. It is not possible to establish when that would be but I assume every time I visit them. Most Muslims get uncomfortable being prayed for by Christians. This is something nevertheless that I am willing to pursue and see how it goes.</w:t>
      </w:r>
    </w:p>
    <w:p w14:paraId="50F400F5" w14:textId="77777777" w:rsidR="00E02690" w:rsidRDefault="00E02690" w:rsidP="00E02690">
      <w:pPr>
        <w:pStyle w:val="NormalWeb"/>
        <w:spacing w:before="0" w:beforeAutospacing="0" w:after="0" w:afterAutospacing="0" w:line="480" w:lineRule="auto"/>
        <w:ind w:firstLine="720"/>
        <w:rPr>
          <w:color w:val="0E101A"/>
        </w:rPr>
      </w:pPr>
      <w:r>
        <w:rPr>
          <w:color w:val="0E101A"/>
        </w:rPr>
        <w:t> </w:t>
      </w:r>
    </w:p>
    <w:p w14:paraId="3951FE16" w14:textId="198D6EFB" w:rsidR="00E02690" w:rsidRDefault="00E02690" w:rsidP="00E02690">
      <w:pPr>
        <w:ind w:firstLine="720"/>
        <w:rPr>
          <w:rFonts w:cs="Times New Roman"/>
          <w:szCs w:val="24"/>
        </w:rPr>
      </w:pPr>
      <w:r>
        <w:rPr>
          <w:rFonts w:cs="Times New Roman"/>
          <w:szCs w:val="24"/>
        </w:rPr>
        <w:br w:type="page"/>
      </w:r>
    </w:p>
    <w:p w14:paraId="16FA48DE" w14:textId="7B171797" w:rsidR="00A752F0" w:rsidRPr="00F96131" w:rsidRDefault="00A752F0" w:rsidP="00F96131">
      <w:pPr>
        <w:pStyle w:val="Heading1"/>
      </w:pPr>
      <w:bookmarkStart w:id="16" w:name="_Toc73326374"/>
      <w:r w:rsidRPr="00F96131">
        <w:lastRenderedPageBreak/>
        <w:t>Bibliography</w:t>
      </w:r>
      <w:bookmarkEnd w:id="16"/>
    </w:p>
    <w:p w14:paraId="6EDF9A49" w14:textId="77777777" w:rsidR="00F96131" w:rsidRPr="00121953" w:rsidRDefault="00F96131" w:rsidP="001B35F3">
      <w:pPr>
        <w:spacing w:before="240" w:after="240" w:line="240" w:lineRule="auto"/>
        <w:ind w:left="720" w:hanging="720"/>
        <w:rPr>
          <w:rFonts w:cs="Times New Roman"/>
          <w:szCs w:val="24"/>
        </w:rPr>
      </w:pPr>
      <w:r w:rsidRPr="00121953">
        <w:rPr>
          <w:rFonts w:cs="Times New Roman"/>
          <w:szCs w:val="24"/>
        </w:rPr>
        <w:t xml:space="preserve">Thompson, W. O., C. King, and C. T. Ritzmann, </w:t>
      </w:r>
      <w:r w:rsidRPr="00121953">
        <w:rPr>
          <w:rFonts w:cs="Times New Roman"/>
          <w:i/>
          <w:iCs/>
          <w:szCs w:val="24"/>
        </w:rPr>
        <w:t>Witness to the World</w:t>
      </w:r>
      <w:r w:rsidRPr="00121953">
        <w:rPr>
          <w:rFonts w:cs="Times New Roman"/>
          <w:szCs w:val="24"/>
        </w:rPr>
        <w:t xml:space="preserve"> (Nashville, TN: LifeWay, 2008.</w:t>
      </w:r>
    </w:p>
    <w:p w14:paraId="132EDC35" w14:textId="4B135DDB" w:rsidR="00F96131" w:rsidRPr="00121953" w:rsidRDefault="00F96131" w:rsidP="001B35F3">
      <w:pPr>
        <w:spacing w:after="240" w:line="240" w:lineRule="auto"/>
        <w:ind w:left="720" w:hanging="720"/>
        <w:rPr>
          <w:rFonts w:cs="Times New Roman"/>
          <w:szCs w:val="24"/>
        </w:rPr>
      </w:pPr>
      <w:r w:rsidRPr="00121953">
        <w:rPr>
          <w:rFonts w:cs="Times New Roman"/>
          <w:szCs w:val="24"/>
        </w:rPr>
        <w:t xml:space="preserve">Whaley, Vernon and David Wheeler. </w:t>
      </w:r>
      <w:r w:rsidRPr="00121953">
        <w:rPr>
          <w:rFonts w:cs="Times New Roman"/>
          <w:i/>
          <w:iCs/>
          <w:szCs w:val="24"/>
        </w:rPr>
        <w:t xml:space="preserve">The </w:t>
      </w:r>
      <w:r w:rsidR="00DD0D8B">
        <w:rPr>
          <w:rFonts w:cs="Times New Roman"/>
          <w:i/>
          <w:iCs/>
          <w:szCs w:val="24"/>
        </w:rPr>
        <w:t>Great Commission</w:t>
      </w:r>
      <w:r w:rsidRPr="00121953">
        <w:rPr>
          <w:rFonts w:cs="Times New Roman"/>
          <w:i/>
          <w:iCs/>
          <w:szCs w:val="24"/>
        </w:rPr>
        <w:t xml:space="preserve"> to Worship</w:t>
      </w:r>
      <w:r w:rsidRPr="00121953">
        <w:rPr>
          <w:rFonts w:cs="Times New Roman"/>
          <w:szCs w:val="24"/>
        </w:rPr>
        <w:t>. Nashville: B and H Publishing Group, 2011.</w:t>
      </w:r>
    </w:p>
    <w:p w14:paraId="44FC02DF" w14:textId="294A8D29" w:rsidR="00FB6365" w:rsidRPr="00121953" w:rsidRDefault="00FB6365" w:rsidP="00FB6365">
      <w:pPr>
        <w:spacing w:line="240" w:lineRule="auto"/>
        <w:ind w:left="720" w:hanging="720"/>
        <w:rPr>
          <w:rFonts w:cs="Times New Roman"/>
          <w:szCs w:val="24"/>
        </w:rPr>
      </w:pPr>
    </w:p>
    <w:sectPr w:rsidR="00FB6365" w:rsidRPr="00121953"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06D7C" w14:textId="77777777" w:rsidR="007215D2" w:rsidRDefault="007215D2" w:rsidP="00DF7AA0">
      <w:pPr>
        <w:spacing w:line="240" w:lineRule="auto"/>
      </w:pPr>
      <w:r>
        <w:separator/>
      </w:r>
    </w:p>
  </w:endnote>
  <w:endnote w:type="continuationSeparator" w:id="0">
    <w:p w14:paraId="5AE77F32" w14:textId="77777777" w:rsidR="007215D2" w:rsidRDefault="007215D2"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7215D2"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1A84D" w14:textId="77777777" w:rsidR="007215D2" w:rsidRDefault="007215D2" w:rsidP="00DF7AA0">
      <w:pPr>
        <w:spacing w:line="240" w:lineRule="auto"/>
      </w:pPr>
      <w:r>
        <w:separator/>
      </w:r>
    </w:p>
  </w:footnote>
  <w:footnote w:type="continuationSeparator" w:id="0">
    <w:p w14:paraId="6B96F950" w14:textId="77777777" w:rsidR="007215D2" w:rsidRDefault="007215D2" w:rsidP="00DF7AA0">
      <w:pPr>
        <w:spacing w:line="240" w:lineRule="auto"/>
      </w:pPr>
      <w:r>
        <w:continuationSeparator/>
      </w:r>
    </w:p>
  </w:footnote>
  <w:footnote w:id="1">
    <w:p w14:paraId="1204A8B2" w14:textId="77777777" w:rsidR="00DE5146" w:rsidRPr="00DD1BC9" w:rsidRDefault="00DE5146" w:rsidP="00DE5146">
      <w:pPr>
        <w:pStyle w:val="FootnoteText"/>
      </w:pPr>
      <w:r>
        <w:rPr>
          <w:rStyle w:val="FootnoteReference"/>
        </w:rPr>
        <w:footnoteRef/>
      </w:r>
      <w:r>
        <w:t xml:space="preserve"> </w:t>
      </w:r>
      <w:r w:rsidRPr="00DD1BC9">
        <w:t xml:space="preserve">Vernon Whaley and David Wheeler, “The Mandate of Worship and the Great Commission,” In </w:t>
      </w:r>
      <w:r w:rsidRPr="00DD1BC9">
        <w:rPr>
          <w:i/>
          <w:iCs/>
        </w:rPr>
        <w:t>The Great Commission to Worship</w:t>
      </w:r>
      <w:r w:rsidRPr="00DD1BC9">
        <w:t xml:space="preserve"> (Nashville: B and H Publishing Group, 2011).</w:t>
      </w:r>
    </w:p>
  </w:footnote>
  <w:footnote w:id="2">
    <w:p w14:paraId="09FEDB5D" w14:textId="77777777" w:rsidR="00DE5146" w:rsidRPr="00DD1BC9" w:rsidRDefault="00DE5146" w:rsidP="00DD0D8B">
      <w:pPr>
        <w:spacing w:after="160" w:line="259" w:lineRule="auto"/>
        <w:ind w:firstLine="720"/>
        <w:rPr>
          <w:sz w:val="20"/>
          <w:szCs w:val="20"/>
        </w:rPr>
      </w:pPr>
      <w:r w:rsidRPr="00DD1BC9">
        <w:rPr>
          <w:rStyle w:val="FootnoteReference"/>
          <w:szCs w:val="20"/>
        </w:rPr>
        <w:footnoteRef/>
      </w:r>
      <w:r w:rsidRPr="00DD1BC9">
        <w:rPr>
          <w:sz w:val="20"/>
          <w:szCs w:val="20"/>
        </w:rPr>
        <w:t xml:space="preserve"> Vernon Whaley and David Wheeler, “The Mandate of Worship and the Great Commission,” In </w:t>
      </w:r>
      <w:r w:rsidRPr="00DD1BC9">
        <w:rPr>
          <w:i/>
          <w:iCs/>
          <w:sz w:val="20"/>
          <w:szCs w:val="20"/>
        </w:rPr>
        <w:t>The Great Commission to Worship</w:t>
      </w:r>
      <w:r w:rsidRPr="00DD1BC9">
        <w:rPr>
          <w:sz w:val="20"/>
          <w:szCs w:val="20"/>
        </w:rPr>
        <w:t xml:space="preserve"> (Nashville: B and H Publishing Group, 2011).</w:t>
      </w:r>
    </w:p>
  </w:footnote>
  <w:footnote w:id="3">
    <w:p w14:paraId="36113BA4" w14:textId="77777777" w:rsidR="00DE5146" w:rsidRPr="00DD1BC9" w:rsidRDefault="00DE5146" w:rsidP="00DE5146">
      <w:pPr>
        <w:pStyle w:val="FootnoteText"/>
      </w:pPr>
      <w:r w:rsidRPr="00DD1BC9">
        <w:rPr>
          <w:rStyle w:val="FootnoteReference"/>
        </w:rPr>
        <w:footnoteRef/>
      </w:r>
      <w:r w:rsidRPr="00DD1BC9">
        <w:t xml:space="preserve"> </w:t>
      </w:r>
      <w:r w:rsidRPr="00DD1BC9">
        <w:rPr>
          <w:rFonts w:cs="Times New Roman"/>
        </w:rPr>
        <w:t xml:space="preserve">Unless otherwise noted, all biblical passages referenced are in the </w:t>
      </w:r>
      <w:r w:rsidRPr="00DD1BC9">
        <w:rPr>
          <w:rFonts w:cs="Times New Roman"/>
          <w:i/>
          <w:iCs/>
        </w:rPr>
        <w:t>New International Version</w:t>
      </w:r>
      <w:r w:rsidRPr="00DD1BC9">
        <w:rPr>
          <w:rFonts w:cs="Times New Roman"/>
        </w:rPr>
        <w:t xml:space="preserve"> (Grand Rapids, MI: Zondervan, 2011).</w:t>
      </w:r>
    </w:p>
  </w:footnote>
  <w:footnote w:id="4">
    <w:p w14:paraId="1A291A89" w14:textId="3C96CBC4" w:rsidR="00DD1BC9" w:rsidRDefault="00DD1BC9">
      <w:pPr>
        <w:pStyle w:val="FootnoteText"/>
      </w:pPr>
      <w:r>
        <w:rPr>
          <w:rStyle w:val="FootnoteReference"/>
        </w:rPr>
        <w:footnoteRef/>
      </w:r>
      <w:r>
        <w:t xml:space="preserve"> </w:t>
      </w:r>
      <w:r w:rsidRPr="00DD1BC9">
        <w:t>Vernon Whaley and David Wheeler, “</w:t>
      </w:r>
      <w:r>
        <w:t>Great Commission Worship is Missional</w:t>
      </w:r>
      <w:r w:rsidRPr="00DD1BC9">
        <w:t xml:space="preserve">,” In </w:t>
      </w:r>
      <w:r w:rsidRPr="00DD1BC9">
        <w:rPr>
          <w:i/>
          <w:iCs/>
        </w:rPr>
        <w:t>The Great Commission to Worship</w:t>
      </w:r>
      <w:r w:rsidRPr="00DD1BC9">
        <w:t xml:space="preserve"> (Nashville: B and H Publishing Group, 2011).</w:t>
      </w:r>
    </w:p>
  </w:footnote>
  <w:footnote w:id="5">
    <w:p w14:paraId="4D4B15A8" w14:textId="3AB722CF" w:rsidR="00E25E34" w:rsidRDefault="00E25E34">
      <w:pPr>
        <w:pStyle w:val="FootnoteText"/>
      </w:pPr>
      <w:r>
        <w:rPr>
          <w:rStyle w:val="FootnoteReference"/>
        </w:rPr>
        <w:footnoteRef/>
      </w:r>
      <w:r>
        <w:t xml:space="preserve"> </w:t>
      </w:r>
      <w:r w:rsidRPr="00DD1BC9">
        <w:t>Vernon Whaley and David Wheeler, “</w:t>
      </w:r>
      <w:r>
        <w:t xml:space="preserve">Great Commission Worship is </w:t>
      </w:r>
      <w:r>
        <w:t>Reproducible</w:t>
      </w:r>
      <w:r w:rsidRPr="00DD1BC9">
        <w:t xml:space="preserve">,” In </w:t>
      </w:r>
      <w:r w:rsidRPr="00DD1BC9">
        <w:rPr>
          <w:i/>
          <w:iCs/>
        </w:rPr>
        <w:t>The Great Commission to Worship</w:t>
      </w:r>
      <w:r w:rsidRPr="00DD1BC9">
        <w:t xml:space="preserve"> (Nashville: B and H Publishing Group, 2011).</w:t>
      </w:r>
    </w:p>
  </w:footnote>
  <w:footnote w:id="6">
    <w:p w14:paraId="1640A223" w14:textId="77777777" w:rsidR="00C05C7F" w:rsidRDefault="00C05C7F" w:rsidP="00C05C7F">
      <w:pPr>
        <w:pStyle w:val="FootnoteText"/>
      </w:pPr>
      <w:r>
        <w:rPr>
          <w:rStyle w:val="FootnoteReference"/>
        </w:rPr>
        <w:footnoteRef/>
      </w:r>
      <w:r>
        <w:t xml:space="preserve"> David Wheeler and Vernon M. “Chapter 9,” In </w:t>
      </w:r>
      <w:r w:rsidRPr="00121953">
        <w:rPr>
          <w:rFonts w:cs="Times New Roman"/>
          <w:i/>
          <w:iCs/>
          <w:sz w:val="24"/>
          <w:szCs w:val="24"/>
        </w:rPr>
        <w:t>The Great Commission to Worship</w:t>
      </w:r>
      <w:r>
        <w:rPr>
          <w:rFonts w:cs="Times New Roman"/>
          <w:i/>
          <w:iCs/>
          <w:sz w:val="24"/>
          <w:szCs w:val="24"/>
        </w:rPr>
        <w:t>.</w:t>
      </w:r>
    </w:p>
  </w:footnote>
  <w:footnote w:id="7">
    <w:p w14:paraId="0BCCDD7E" w14:textId="77777777" w:rsidR="00C05C7F" w:rsidRDefault="00C05C7F" w:rsidP="00C05C7F">
      <w:pPr>
        <w:pStyle w:val="FootnoteText"/>
      </w:pPr>
      <w:r>
        <w:rPr>
          <w:rStyle w:val="FootnoteReference"/>
        </w:rPr>
        <w:footnoteRef/>
      </w:r>
      <w:r>
        <w:t xml:space="preserve"> Ibid.</w:t>
      </w:r>
    </w:p>
  </w:footnote>
  <w:footnote w:id="8">
    <w:p w14:paraId="462CBD58" w14:textId="77777777" w:rsidR="00E02690" w:rsidRDefault="00E02690" w:rsidP="00E02690">
      <w:pPr>
        <w:pStyle w:val="FootnoteText"/>
      </w:pPr>
      <w:r>
        <w:rPr>
          <w:rStyle w:val="FootnoteReference"/>
        </w:rPr>
        <w:footnoteRef/>
      </w:r>
      <w:r>
        <w:t xml:space="preserve"> </w:t>
      </w:r>
      <w:r w:rsidRPr="0000239A">
        <w:t xml:space="preserve">W. O. Thompson Jr., C. King, and C. T. Ritzmann, </w:t>
      </w:r>
      <w:r w:rsidRPr="0000239A">
        <w:rPr>
          <w:i/>
          <w:iCs/>
        </w:rPr>
        <w:t>Witness to the World</w:t>
      </w:r>
      <w:r w:rsidRPr="0000239A">
        <w:t xml:space="preserve"> (Nashville, TN: LifeWay, 2008), 9</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6299D"/>
    <w:rsid w:val="0008569C"/>
    <w:rsid w:val="000C2FB6"/>
    <w:rsid w:val="000D41A4"/>
    <w:rsid w:val="000E6190"/>
    <w:rsid w:val="00106286"/>
    <w:rsid w:val="00114B0E"/>
    <w:rsid w:val="00121953"/>
    <w:rsid w:val="00134BCC"/>
    <w:rsid w:val="00141902"/>
    <w:rsid w:val="001517D4"/>
    <w:rsid w:val="00155F02"/>
    <w:rsid w:val="00174C31"/>
    <w:rsid w:val="001918B7"/>
    <w:rsid w:val="001B35F3"/>
    <w:rsid w:val="001F585E"/>
    <w:rsid w:val="002401B1"/>
    <w:rsid w:val="002555F0"/>
    <w:rsid w:val="00283562"/>
    <w:rsid w:val="002A6EBA"/>
    <w:rsid w:val="002B7C8F"/>
    <w:rsid w:val="0030455F"/>
    <w:rsid w:val="003134DA"/>
    <w:rsid w:val="00332E7E"/>
    <w:rsid w:val="00350B9C"/>
    <w:rsid w:val="003775FD"/>
    <w:rsid w:val="00397061"/>
    <w:rsid w:val="003C0A92"/>
    <w:rsid w:val="003C409F"/>
    <w:rsid w:val="003E7560"/>
    <w:rsid w:val="003F6E92"/>
    <w:rsid w:val="00400C96"/>
    <w:rsid w:val="00404BF1"/>
    <w:rsid w:val="00432FB1"/>
    <w:rsid w:val="00484ECF"/>
    <w:rsid w:val="005449C8"/>
    <w:rsid w:val="00550A69"/>
    <w:rsid w:val="0056155C"/>
    <w:rsid w:val="005E7F5F"/>
    <w:rsid w:val="00656585"/>
    <w:rsid w:val="00684DC2"/>
    <w:rsid w:val="006876D2"/>
    <w:rsid w:val="00690AD8"/>
    <w:rsid w:val="006B3547"/>
    <w:rsid w:val="007215D2"/>
    <w:rsid w:val="007E52F0"/>
    <w:rsid w:val="007E71EC"/>
    <w:rsid w:val="00805553"/>
    <w:rsid w:val="00823597"/>
    <w:rsid w:val="00846716"/>
    <w:rsid w:val="00861DD8"/>
    <w:rsid w:val="00890311"/>
    <w:rsid w:val="008D6E51"/>
    <w:rsid w:val="009131E7"/>
    <w:rsid w:val="0093103D"/>
    <w:rsid w:val="00934FC4"/>
    <w:rsid w:val="009A2C33"/>
    <w:rsid w:val="009C136E"/>
    <w:rsid w:val="009E46B4"/>
    <w:rsid w:val="00A07CBC"/>
    <w:rsid w:val="00A36B5C"/>
    <w:rsid w:val="00A43B4D"/>
    <w:rsid w:val="00A70889"/>
    <w:rsid w:val="00A752F0"/>
    <w:rsid w:val="00AD1015"/>
    <w:rsid w:val="00AE1A54"/>
    <w:rsid w:val="00AE1E2E"/>
    <w:rsid w:val="00AF315F"/>
    <w:rsid w:val="00AF3CDD"/>
    <w:rsid w:val="00B12D3D"/>
    <w:rsid w:val="00B16F57"/>
    <w:rsid w:val="00B216BD"/>
    <w:rsid w:val="00B334E6"/>
    <w:rsid w:val="00B34C91"/>
    <w:rsid w:val="00B92FEC"/>
    <w:rsid w:val="00BB06A1"/>
    <w:rsid w:val="00BF09C1"/>
    <w:rsid w:val="00BF6365"/>
    <w:rsid w:val="00BF7136"/>
    <w:rsid w:val="00C05C7F"/>
    <w:rsid w:val="00C05F96"/>
    <w:rsid w:val="00C46467"/>
    <w:rsid w:val="00C6173E"/>
    <w:rsid w:val="00C70A4A"/>
    <w:rsid w:val="00C75AB6"/>
    <w:rsid w:val="00CE19FA"/>
    <w:rsid w:val="00CE489C"/>
    <w:rsid w:val="00D072C2"/>
    <w:rsid w:val="00D17405"/>
    <w:rsid w:val="00D850DE"/>
    <w:rsid w:val="00DB45AF"/>
    <w:rsid w:val="00DB71C0"/>
    <w:rsid w:val="00DD0D8B"/>
    <w:rsid w:val="00DD1BC9"/>
    <w:rsid w:val="00DE5146"/>
    <w:rsid w:val="00DF7AA0"/>
    <w:rsid w:val="00E02690"/>
    <w:rsid w:val="00E25E34"/>
    <w:rsid w:val="00E33F9B"/>
    <w:rsid w:val="00E6776E"/>
    <w:rsid w:val="00ED04CE"/>
    <w:rsid w:val="00ED27B4"/>
    <w:rsid w:val="00F228DC"/>
    <w:rsid w:val="00F630B3"/>
    <w:rsid w:val="00F8465E"/>
    <w:rsid w:val="00F94E20"/>
    <w:rsid w:val="00F96131"/>
    <w:rsid w:val="00FB6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F96131"/>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131"/>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9</Pages>
  <Words>1576</Words>
  <Characters>8985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2021-05-29T20:11:00Z</dcterms:created>
  <dcterms:modified xsi:type="dcterms:W3CDTF">2021-06-12T02:09:00Z</dcterms:modified>
</cp:coreProperties>
</file>