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bookmarkStart w:id="0" w:name="_Hlk72711402"/>
    </w:p>
    <w:p w14:paraId="5D55129F" w14:textId="77777777" w:rsidR="00F630B3" w:rsidRPr="00F630B3"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6F7FC4">
      <w:pPr>
        <w:spacing w:line="240" w:lineRule="auto"/>
        <w:rPr>
          <w:rFonts w:eastAsia="Malgun Gothic" w:cs="Times New Roman"/>
          <w:szCs w:val="24"/>
          <w:lang w:eastAsia="ko-KR"/>
        </w:rPr>
      </w:pPr>
    </w:p>
    <w:p w14:paraId="26C12306" w14:textId="500B128A" w:rsidR="00F630B3" w:rsidRPr="00F630B3" w:rsidRDefault="00AB4996" w:rsidP="00F630B3">
      <w:pPr>
        <w:spacing w:line="240" w:lineRule="auto"/>
        <w:jc w:val="center"/>
        <w:rPr>
          <w:rFonts w:eastAsia="Malgun Gothic" w:cs="Times New Roman"/>
          <w:szCs w:val="24"/>
          <w:lang w:eastAsia="ko-KR"/>
        </w:rPr>
      </w:pPr>
      <w:r>
        <w:rPr>
          <w:rFonts w:eastAsia="Malgun Gothic" w:cs="Times New Roman"/>
          <w:szCs w:val="24"/>
          <w:lang w:eastAsia="ko-KR"/>
        </w:rPr>
        <w:t>Article Reflection</w:t>
      </w:r>
      <w:r w:rsidR="00F630B3" w:rsidRPr="00F630B3">
        <w:rPr>
          <w:rFonts w:eastAsia="Malgun Gothic" w:cs="Times New Roman"/>
          <w:szCs w:val="24"/>
          <w:lang w:eastAsia="ko-KR"/>
        </w:rPr>
        <w:t xml:space="preserve"> of</w:t>
      </w:r>
    </w:p>
    <w:p w14:paraId="348D940C" w14:textId="499A6875" w:rsidR="006F7FC4" w:rsidRPr="006F7FC4" w:rsidRDefault="006F7FC4" w:rsidP="006F7FC4">
      <w:pPr>
        <w:spacing w:line="240" w:lineRule="auto"/>
        <w:jc w:val="center"/>
        <w:rPr>
          <w:rFonts w:eastAsia="Malgun Gothic" w:cs="Times New Roman"/>
          <w:szCs w:val="24"/>
          <w:lang w:eastAsia="ko-KR"/>
        </w:rPr>
      </w:pPr>
      <w:r w:rsidRPr="006F7FC4">
        <w:rPr>
          <w:rFonts w:eastAsia="Malgun Gothic" w:cs="Times New Roman"/>
          <w:szCs w:val="24"/>
          <w:lang w:eastAsia="ko-KR"/>
        </w:rPr>
        <w:t>Kgatle, M.S.,</w:t>
      </w:r>
      <w:r>
        <w:rPr>
          <w:rFonts w:eastAsia="Malgun Gothic" w:cs="Times New Roman"/>
          <w:szCs w:val="24"/>
          <w:lang w:eastAsia="ko-KR"/>
        </w:rPr>
        <w:t xml:space="preserve"> “</w:t>
      </w:r>
      <w:r w:rsidRPr="006F7FC4">
        <w:rPr>
          <w:rFonts w:eastAsia="Malgun Gothic" w:cs="Times New Roman"/>
          <w:szCs w:val="24"/>
          <w:lang w:eastAsia="ko-KR"/>
        </w:rPr>
        <w:t>Globalisation of missions:</w:t>
      </w:r>
      <w:r>
        <w:rPr>
          <w:rFonts w:eastAsia="Malgun Gothic" w:cs="Times New Roman"/>
          <w:szCs w:val="24"/>
          <w:lang w:eastAsia="ko-KR"/>
        </w:rPr>
        <w:t xml:space="preserve"> </w:t>
      </w:r>
      <w:r w:rsidRPr="006F7FC4">
        <w:rPr>
          <w:rFonts w:eastAsia="Malgun Gothic" w:cs="Times New Roman"/>
          <w:szCs w:val="24"/>
          <w:lang w:eastAsia="ko-KR"/>
        </w:rPr>
        <w:t>An exegesis on the Great</w:t>
      </w:r>
      <w:r>
        <w:rPr>
          <w:rFonts w:eastAsia="Malgun Gothic" w:cs="Times New Roman"/>
          <w:szCs w:val="24"/>
          <w:lang w:eastAsia="ko-KR"/>
        </w:rPr>
        <w:t xml:space="preserve"> </w:t>
      </w:r>
      <w:r w:rsidRPr="006F7FC4">
        <w:rPr>
          <w:rFonts w:eastAsia="Malgun Gothic" w:cs="Times New Roman"/>
          <w:szCs w:val="24"/>
          <w:lang w:eastAsia="ko-KR"/>
        </w:rPr>
        <w:t>Commission (M</w:t>
      </w:r>
      <w:r w:rsidR="006F27A4">
        <w:rPr>
          <w:rFonts w:eastAsia="Malgun Gothic" w:cs="Times New Roman"/>
          <w:szCs w:val="24"/>
          <w:lang w:eastAsia="ko-KR"/>
        </w:rPr>
        <w:t>t</w:t>
      </w:r>
      <w:r>
        <w:rPr>
          <w:rFonts w:eastAsia="Malgun Gothic" w:cs="Times New Roman"/>
          <w:szCs w:val="24"/>
          <w:lang w:eastAsia="ko-KR"/>
        </w:rPr>
        <w:t xml:space="preserve"> </w:t>
      </w:r>
      <w:r w:rsidRPr="006F7FC4">
        <w:rPr>
          <w:rFonts w:eastAsia="Malgun Gothic" w:cs="Times New Roman"/>
          <w:szCs w:val="24"/>
          <w:lang w:eastAsia="ko-KR"/>
        </w:rPr>
        <w:t>28:18–20)</w:t>
      </w:r>
      <w:r w:rsidR="004F1359">
        <w:rPr>
          <w:rFonts w:eastAsia="Malgun Gothic" w:cs="Times New Roman"/>
          <w:szCs w:val="24"/>
          <w:lang w:eastAsia="ko-KR"/>
        </w:rPr>
        <w:t>,</w:t>
      </w:r>
      <w:r>
        <w:rPr>
          <w:rFonts w:eastAsia="Malgun Gothic" w:cs="Times New Roman"/>
          <w:szCs w:val="24"/>
          <w:lang w:eastAsia="ko-KR"/>
        </w:rPr>
        <w:t>”</w:t>
      </w:r>
      <w:r w:rsidR="004F1359">
        <w:rPr>
          <w:rFonts w:eastAsia="Malgun Gothic" w:cs="Times New Roman"/>
          <w:szCs w:val="24"/>
          <w:lang w:eastAsia="ko-KR"/>
        </w:rPr>
        <w:t xml:space="preserve"> </w:t>
      </w:r>
      <w:r w:rsidRPr="006F7FC4">
        <w:rPr>
          <w:rFonts w:eastAsia="Malgun Gothic" w:cs="Times New Roman"/>
          <w:i/>
          <w:iCs/>
          <w:szCs w:val="24"/>
          <w:lang w:eastAsia="ko-KR"/>
        </w:rPr>
        <w:t>In die Skriflig</w:t>
      </w:r>
      <w:r w:rsidRPr="006F7FC4">
        <w:rPr>
          <w:rFonts w:eastAsia="Malgun Gothic" w:cs="Times New Roman"/>
          <w:szCs w:val="24"/>
          <w:lang w:eastAsia="ko-KR"/>
        </w:rPr>
        <w:t xml:space="preserve"> 52(1), </w:t>
      </w:r>
      <w:r>
        <w:rPr>
          <w:rFonts w:eastAsia="Malgun Gothic" w:cs="Times New Roman"/>
          <w:szCs w:val="24"/>
          <w:lang w:eastAsia="ko-KR"/>
        </w:rPr>
        <w:t>11 July 2018.</w:t>
      </w:r>
    </w:p>
    <w:p w14:paraId="19C5439F" w14:textId="77777777" w:rsidR="00F630B3" w:rsidRPr="00F630B3" w:rsidRDefault="00F630B3" w:rsidP="00F630B3">
      <w:pPr>
        <w:spacing w:line="240" w:lineRule="auto"/>
        <w:jc w:val="center"/>
        <w:rPr>
          <w:rFonts w:eastAsia="Malgun Gothic" w:cs="Times New Roman"/>
          <w:szCs w:val="24"/>
          <w:lang w:eastAsia="ko-KR"/>
        </w:rPr>
      </w:pPr>
    </w:p>
    <w:p w14:paraId="3FBFF1F2" w14:textId="77777777" w:rsidR="00F630B3" w:rsidRPr="00F630B3" w:rsidRDefault="00F630B3" w:rsidP="00F630B3">
      <w:pPr>
        <w:spacing w:line="240" w:lineRule="auto"/>
        <w:jc w:val="center"/>
        <w:rPr>
          <w:rFonts w:eastAsia="Malgun Gothic" w:cs="Times New Roman"/>
          <w:szCs w:val="24"/>
          <w:lang w:eastAsia="ko-KR"/>
        </w:rPr>
      </w:pPr>
    </w:p>
    <w:p w14:paraId="41B199D2" w14:textId="77777777" w:rsidR="00F630B3" w:rsidRPr="00F630B3" w:rsidRDefault="00F630B3" w:rsidP="00F630B3">
      <w:pPr>
        <w:spacing w:line="240" w:lineRule="auto"/>
        <w:jc w:val="center"/>
        <w:rPr>
          <w:rFonts w:eastAsia="Malgun Gothic" w:cs="Times New Roman"/>
          <w:szCs w:val="24"/>
          <w:lang w:eastAsia="ko-KR"/>
        </w:rPr>
      </w:pPr>
    </w:p>
    <w:p w14:paraId="5566DD03" w14:textId="095DBC22"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Submitted to Dr </w:t>
      </w:r>
      <w:r w:rsidR="00A83E6E">
        <w:rPr>
          <w:rFonts w:eastAsia="Malgun Gothic" w:cs="Times New Roman"/>
          <w:szCs w:val="24"/>
          <w:lang w:eastAsia="ko-KR"/>
        </w:rPr>
        <w:t>Mark Avery</w:t>
      </w:r>
    </w:p>
    <w:p w14:paraId="6639A01E" w14:textId="77777777" w:rsidR="00F630B3" w:rsidRPr="00F630B3" w:rsidRDefault="00F630B3" w:rsidP="00F630B3">
      <w:pPr>
        <w:spacing w:line="240" w:lineRule="auto"/>
        <w:jc w:val="center"/>
        <w:rPr>
          <w:rFonts w:eastAsia="Malgun Gothic" w:cs="Times New Roman"/>
          <w:szCs w:val="24"/>
          <w:lang w:eastAsia="ko-KR"/>
        </w:rPr>
      </w:pPr>
    </w:p>
    <w:p w14:paraId="4BC08B8B"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06B1B0D7" w:rsidR="00F630B3" w:rsidRDefault="00F630B3" w:rsidP="00F630B3">
      <w:pPr>
        <w:spacing w:line="240" w:lineRule="auto"/>
        <w:jc w:val="center"/>
        <w:rPr>
          <w:rFonts w:eastAsia="Malgun Gothic" w:cs="Times New Roman"/>
          <w:szCs w:val="24"/>
          <w:lang w:eastAsia="ko-KR"/>
        </w:rPr>
      </w:pPr>
    </w:p>
    <w:p w14:paraId="69D9DB34" w14:textId="77777777" w:rsidR="006F7FC4" w:rsidRPr="00F630B3" w:rsidRDefault="006F7FC4"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F361942" w14:textId="0469FF24" w:rsidR="00A83E6E" w:rsidRPr="00F630B3" w:rsidRDefault="00A83E6E" w:rsidP="00A83E6E">
      <w:pPr>
        <w:spacing w:line="240" w:lineRule="auto"/>
        <w:jc w:val="center"/>
        <w:rPr>
          <w:rFonts w:eastAsia="Malgun Gothic" w:cs="Times New Roman"/>
          <w:szCs w:val="24"/>
          <w:lang w:eastAsia="ko-KR"/>
        </w:rPr>
      </w:pPr>
      <w:r>
        <w:rPr>
          <w:rFonts w:eastAsia="Malgun Gothic" w:cs="Times New Roman"/>
          <w:szCs w:val="24"/>
          <w:lang w:eastAsia="ko-KR"/>
        </w:rPr>
        <w:t>GLST 650</w:t>
      </w:r>
      <w:r w:rsidR="00F630B3" w:rsidRPr="00F630B3">
        <w:rPr>
          <w:rFonts w:eastAsia="Malgun Gothic" w:cs="Times New Roman"/>
          <w:szCs w:val="24"/>
          <w:lang w:eastAsia="ko-KR"/>
        </w:rPr>
        <w:t xml:space="preserve"> – </w:t>
      </w:r>
      <w:r>
        <w:rPr>
          <w:rFonts w:eastAsia="Malgun Gothic" w:cs="Times New Roman"/>
          <w:szCs w:val="24"/>
          <w:lang w:eastAsia="ko-KR"/>
        </w:rPr>
        <w:t>B04</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4AFBC897"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Intercultural Communication</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22E49913" w:rsidR="00F630B3" w:rsidRPr="00F630B3" w:rsidRDefault="00A83E6E" w:rsidP="00F630B3">
      <w:pPr>
        <w:spacing w:line="240" w:lineRule="auto"/>
        <w:jc w:val="center"/>
        <w:rPr>
          <w:rFonts w:eastAsia="Malgun Gothic" w:cs="Times New Roman"/>
          <w:szCs w:val="24"/>
          <w:lang w:eastAsia="ko-KR"/>
        </w:rPr>
      </w:pPr>
      <w:r>
        <w:rPr>
          <w:rFonts w:eastAsia="Malgun Gothic" w:cs="Times New Roman"/>
          <w:szCs w:val="24"/>
          <w:lang w:eastAsia="ko-KR"/>
        </w:rPr>
        <w:t xml:space="preserve">May </w:t>
      </w:r>
      <w:r w:rsidR="004F1359">
        <w:rPr>
          <w:rFonts w:eastAsia="Malgun Gothic" w:cs="Times New Roman"/>
          <w:szCs w:val="24"/>
          <w:lang w:eastAsia="ko-KR"/>
        </w:rPr>
        <w:t>30</w:t>
      </w:r>
      <w:r w:rsidR="00F630B3" w:rsidRPr="00F630B3">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2B71D6" w:rsidRDefault="00DF7AA0" w:rsidP="004B0493">
      <w:pPr>
        <w:pStyle w:val="Heading1"/>
        <w:sectPr w:rsidR="00DF7AA0" w:rsidRPr="002B71D6"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Default="001728FA" w:rsidP="004B0493">
      <w:pPr>
        <w:pStyle w:val="Heading1"/>
      </w:pPr>
      <w:bookmarkStart w:id="10" w:name="_Toc73304185"/>
      <w:bookmarkStart w:id="11" w:name="_Toc73304292"/>
      <w:bookmarkStart w:id="12" w:name="_Hlk72711451"/>
      <w:r w:rsidRPr="001728FA">
        <w:lastRenderedPageBreak/>
        <w:t>Content</w:t>
      </w:r>
      <w:bookmarkEnd w:id="10"/>
      <w:r>
        <w:t>s</w:t>
      </w:r>
      <w:bookmarkEnd w:id="11"/>
    </w:p>
    <w:sdt>
      <w:sdtPr>
        <w:rPr>
          <w:rFonts w:ascii="Times New Roman" w:eastAsiaTheme="minorHAnsi" w:hAnsi="Times New Roman"/>
          <w:szCs w:val="22"/>
        </w:rPr>
        <w:id w:val="-508138614"/>
        <w:docPartObj>
          <w:docPartGallery w:val="Table of Contents"/>
          <w:docPartUnique/>
        </w:docPartObj>
      </w:sdtPr>
      <w:sdtEndPr>
        <w:rPr>
          <w:b/>
          <w:bCs/>
          <w:noProof/>
        </w:rPr>
      </w:sdtEndPr>
      <w:sdtContent>
        <w:p w14:paraId="24DD4B86" w14:textId="5F8E70EE" w:rsidR="001728FA" w:rsidRPr="001728FA" w:rsidRDefault="001728FA" w:rsidP="001728FA">
          <w:pPr>
            <w:pStyle w:val="TOC1"/>
            <w:tabs>
              <w:tab w:val="right" w:leader="dot" w:pos="9350"/>
            </w:tabs>
            <w:ind w:left="0"/>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73304293" w:history="1">
            <w:r w:rsidRPr="001728FA">
              <w:rPr>
                <w:rStyle w:val="Hyperlink"/>
                <w:rFonts w:ascii="Times New Roman" w:hAnsi="Times New Roman" w:cs="Times New Roman"/>
                <w:b/>
                <w:bCs/>
                <w:noProof/>
              </w:rPr>
              <w:t>Introduction</w:t>
            </w:r>
            <w:r w:rsidRPr="001728FA">
              <w:rPr>
                <w:rFonts w:ascii="Times New Roman" w:hAnsi="Times New Roman" w:cs="Times New Roman"/>
                <w:b/>
                <w:bCs/>
                <w:noProof/>
                <w:webHidden/>
              </w:rPr>
              <w:tab/>
            </w:r>
            <w:r w:rsidRPr="001728FA">
              <w:rPr>
                <w:rFonts w:ascii="Times New Roman" w:hAnsi="Times New Roman" w:cs="Times New Roman"/>
                <w:b/>
                <w:bCs/>
                <w:noProof/>
                <w:webHidden/>
              </w:rPr>
              <w:fldChar w:fldCharType="begin"/>
            </w:r>
            <w:r w:rsidRPr="001728FA">
              <w:rPr>
                <w:rFonts w:ascii="Times New Roman" w:hAnsi="Times New Roman" w:cs="Times New Roman"/>
                <w:b/>
                <w:bCs/>
                <w:noProof/>
                <w:webHidden/>
              </w:rPr>
              <w:instrText xml:space="preserve"> PAGEREF _Toc73304293 \h </w:instrText>
            </w:r>
            <w:r w:rsidRPr="001728FA">
              <w:rPr>
                <w:rFonts w:ascii="Times New Roman" w:hAnsi="Times New Roman" w:cs="Times New Roman"/>
                <w:b/>
                <w:bCs/>
                <w:noProof/>
                <w:webHidden/>
              </w:rPr>
            </w:r>
            <w:r w:rsidRPr="001728FA">
              <w:rPr>
                <w:rFonts w:ascii="Times New Roman" w:hAnsi="Times New Roman" w:cs="Times New Roman"/>
                <w:b/>
                <w:bCs/>
                <w:noProof/>
                <w:webHidden/>
              </w:rPr>
              <w:fldChar w:fldCharType="separate"/>
            </w:r>
            <w:r w:rsidRPr="001728FA">
              <w:rPr>
                <w:rFonts w:ascii="Times New Roman" w:hAnsi="Times New Roman" w:cs="Times New Roman"/>
                <w:b/>
                <w:bCs/>
                <w:noProof/>
                <w:webHidden/>
              </w:rPr>
              <w:t>1</w:t>
            </w:r>
            <w:r w:rsidRPr="001728FA">
              <w:rPr>
                <w:rFonts w:ascii="Times New Roman" w:hAnsi="Times New Roman" w:cs="Times New Roman"/>
                <w:b/>
                <w:bCs/>
                <w:noProof/>
                <w:webHidden/>
              </w:rPr>
              <w:fldChar w:fldCharType="end"/>
            </w:r>
          </w:hyperlink>
        </w:p>
        <w:p w14:paraId="58A725A6" w14:textId="574436DB" w:rsidR="001728FA" w:rsidRPr="001728FA" w:rsidRDefault="009E7210" w:rsidP="001728FA">
          <w:pPr>
            <w:pStyle w:val="TOC1"/>
            <w:tabs>
              <w:tab w:val="right" w:leader="dot" w:pos="9350"/>
            </w:tabs>
            <w:ind w:left="0"/>
            <w:rPr>
              <w:rFonts w:ascii="Times New Roman" w:eastAsiaTheme="minorEastAsia" w:hAnsi="Times New Roman" w:cs="Times New Roman"/>
              <w:b/>
              <w:bCs/>
              <w:noProof/>
              <w:sz w:val="22"/>
              <w:szCs w:val="22"/>
            </w:rPr>
          </w:pPr>
          <w:hyperlink w:anchor="_Toc73304294" w:history="1">
            <w:r w:rsidR="001728FA" w:rsidRPr="001728FA">
              <w:rPr>
                <w:rStyle w:val="Hyperlink"/>
                <w:rFonts w:ascii="Times New Roman" w:eastAsia="Malgun Gothic" w:hAnsi="Times New Roman" w:cs="Times New Roman"/>
                <w:b/>
                <w:bCs/>
                <w:noProof/>
                <w:lang w:eastAsia="ko-KR"/>
              </w:rPr>
              <w:t>Summary</w:t>
            </w:r>
            <w:r w:rsidR="001728FA" w:rsidRPr="001728FA">
              <w:rPr>
                <w:rFonts w:ascii="Times New Roman" w:hAnsi="Times New Roman" w:cs="Times New Roman"/>
                <w:b/>
                <w:bCs/>
                <w:noProof/>
                <w:webHidden/>
              </w:rPr>
              <w:tab/>
            </w:r>
            <w:r w:rsidR="001728FA" w:rsidRPr="001728FA">
              <w:rPr>
                <w:rFonts w:ascii="Times New Roman" w:hAnsi="Times New Roman" w:cs="Times New Roman"/>
                <w:b/>
                <w:bCs/>
                <w:noProof/>
                <w:webHidden/>
              </w:rPr>
              <w:fldChar w:fldCharType="begin"/>
            </w:r>
            <w:r w:rsidR="001728FA" w:rsidRPr="001728FA">
              <w:rPr>
                <w:rFonts w:ascii="Times New Roman" w:hAnsi="Times New Roman" w:cs="Times New Roman"/>
                <w:b/>
                <w:bCs/>
                <w:noProof/>
                <w:webHidden/>
              </w:rPr>
              <w:instrText xml:space="preserve"> PAGEREF _Toc73304294 \h </w:instrText>
            </w:r>
            <w:r w:rsidR="001728FA" w:rsidRPr="001728FA">
              <w:rPr>
                <w:rFonts w:ascii="Times New Roman" w:hAnsi="Times New Roman" w:cs="Times New Roman"/>
                <w:b/>
                <w:bCs/>
                <w:noProof/>
                <w:webHidden/>
              </w:rPr>
            </w:r>
            <w:r w:rsidR="001728FA" w:rsidRPr="001728FA">
              <w:rPr>
                <w:rFonts w:ascii="Times New Roman" w:hAnsi="Times New Roman" w:cs="Times New Roman"/>
                <w:b/>
                <w:bCs/>
                <w:noProof/>
                <w:webHidden/>
              </w:rPr>
              <w:fldChar w:fldCharType="separate"/>
            </w:r>
            <w:r w:rsidR="001728FA" w:rsidRPr="001728FA">
              <w:rPr>
                <w:rFonts w:ascii="Times New Roman" w:hAnsi="Times New Roman" w:cs="Times New Roman"/>
                <w:b/>
                <w:bCs/>
                <w:noProof/>
                <w:webHidden/>
              </w:rPr>
              <w:t>1</w:t>
            </w:r>
            <w:r w:rsidR="001728FA" w:rsidRPr="001728FA">
              <w:rPr>
                <w:rFonts w:ascii="Times New Roman" w:hAnsi="Times New Roman" w:cs="Times New Roman"/>
                <w:b/>
                <w:bCs/>
                <w:noProof/>
                <w:webHidden/>
              </w:rPr>
              <w:fldChar w:fldCharType="end"/>
            </w:r>
          </w:hyperlink>
        </w:p>
        <w:p w14:paraId="1F5C4692" w14:textId="4AAFDC0D" w:rsidR="001728FA" w:rsidRPr="001728FA" w:rsidRDefault="009E7210" w:rsidP="001728FA">
          <w:pPr>
            <w:pStyle w:val="TOC1"/>
            <w:tabs>
              <w:tab w:val="right" w:leader="dot" w:pos="9350"/>
            </w:tabs>
            <w:ind w:left="0"/>
            <w:rPr>
              <w:rFonts w:ascii="Times New Roman" w:eastAsiaTheme="minorEastAsia" w:hAnsi="Times New Roman" w:cs="Times New Roman"/>
              <w:b/>
              <w:bCs/>
              <w:noProof/>
              <w:sz w:val="22"/>
              <w:szCs w:val="22"/>
            </w:rPr>
          </w:pPr>
          <w:hyperlink w:anchor="_Toc73304295" w:history="1">
            <w:r w:rsidR="001728FA" w:rsidRPr="001728FA">
              <w:rPr>
                <w:rStyle w:val="Hyperlink"/>
                <w:rFonts w:ascii="Times New Roman" w:hAnsi="Times New Roman" w:cs="Times New Roman"/>
                <w:b/>
                <w:bCs/>
                <w:noProof/>
              </w:rPr>
              <w:t>Analysis of the article</w:t>
            </w:r>
            <w:r w:rsidR="001728FA" w:rsidRPr="001728FA">
              <w:rPr>
                <w:rFonts w:ascii="Times New Roman" w:hAnsi="Times New Roman" w:cs="Times New Roman"/>
                <w:b/>
                <w:bCs/>
                <w:noProof/>
                <w:webHidden/>
              </w:rPr>
              <w:tab/>
            </w:r>
            <w:r w:rsidR="001728FA" w:rsidRPr="001728FA">
              <w:rPr>
                <w:rFonts w:ascii="Times New Roman" w:hAnsi="Times New Roman" w:cs="Times New Roman"/>
                <w:b/>
                <w:bCs/>
                <w:noProof/>
                <w:webHidden/>
              </w:rPr>
              <w:fldChar w:fldCharType="begin"/>
            </w:r>
            <w:r w:rsidR="001728FA" w:rsidRPr="001728FA">
              <w:rPr>
                <w:rFonts w:ascii="Times New Roman" w:hAnsi="Times New Roman" w:cs="Times New Roman"/>
                <w:b/>
                <w:bCs/>
                <w:noProof/>
                <w:webHidden/>
              </w:rPr>
              <w:instrText xml:space="preserve"> PAGEREF _Toc73304295 \h </w:instrText>
            </w:r>
            <w:r w:rsidR="001728FA" w:rsidRPr="001728FA">
              <w:rPr>
                <w:rFonts w:ascii="Times New Roman" w:hAnsi="Times New Roman" w:cs="Times New Roman"/>
                <w:b/>
                <w:bCs/>
                <w:noProof/>
                <w:webHidden/>
              </w:rPr>
            </w:r>
            <w:r w:rsidR="001728FA" w:rsidRPr="001728FA">
              <w:rPr>
                <w:rFonts w:ascii="Times New Roman" w:hAnsi="Times New Roman" w:cs="Times New Roman"/>
                <w:b/>
                <w:bCs/>
                <w:noProof/>
                <w:webHidden/>
              </w:rPr>
              <w:fldChar w:fldCharType="separate"/>
            </w:r>
            <w:r w:rsidR="001728FA" w:rsidRPr="001728FA">
              <w:rPr>
                <w:rFonts w:ascii="Times New Roman" w:hAnsi="Times New Roman" w:cs="Times New Roman"/>
                <w:b/>
                <w:bCs/>
                <w:noProof/>
                <w:webHidden/>
              </w:rPr>
              <w:t>2</w:t>
            </w:r>
            <w:r w:rsidR="001728FA" w:rsidRPr="001728FA">
              <w:rPr>
                <w:rFonts w:ascii="Times New Roman" w:hAnsi="Times New Roman" w:cs="Times New Roman"/>
                <w:b/>
                <w:bCs/>
                <w:noProof/>
                <w:webHidden/>
              </w:rPr>
              <w:fldChar w:fldCharType="end"/>
            </w:r>
          </w:hyperlink>
        </w:p>
        <w:p w14:paraId="320C0CC8" w14:textId="61A85E6C" w:rsidR="001728FA" w:rsidRPr="001728FA" w:rsidRDefault="009E7210" w:rsidP="001728FA">
          <w:pPr>
            <w:pStyle w:val="TOC1"/>
            <w:tabs>
              <w:tab w:val="right" w:leader="dot" w:pos="9350"/>
            </w:tabs>
            <w:ind w:left="0"/>
            <w:rPr>
              <w:rFonts w:ascii="Times New Roman" w:eastAsiaTheme="minorEastAsia" w:hAnsi="Times New Roman" w:cs="Times New Roman"/>
              <w:b/>
              <w:bCs/>
              <w:noProof/>
              <w:sz w:val="22"/>
              <w:szCs w:val="22"/>
            </w:rPr>
          </w:pPr>
          <w:hyperlink w:anchor="_Toc73304296" w:history="1">
            <w:r w:rsidR="001728FA" w:rsidRPr="001728FA">
              <w:rPr>
                <w:rStyle w:val="Hyperlink"/>
                <w:rFonts w:ascii="Times New Roman" w:hAnsi="Times New Roman" w:cs="Times New Roman"/>
                <w:b/>
                <w:bCs/>
                <w:noProof/>
              </w:rPr>
              <w:t>Conclusion</w:t>
            </w:r>
            <w:r w:rsidR="001728FA" w:rsidRPr="001728FA">
              <w:rPr>
                <w:rFonts w:ascii="Times New Roman" w:hAnsi="Times New Roman" w:cs="Times New Roman"/>
                <w:b/>
                <w:bCs/>
                <w:noProof/>
                <w:webHidden/>
              </w:rPr>
              <w:tab/>
            </w:r>
            <w:r w:rsidR="001728FA" w:rsidRPr="001728FA">
              <w:rPr>
                <w:rFonts w:ascii="Times New Roman" w:hAnsi="Times New Roman" w:cs="Times New Roman"/>
                <w:b/>
                <w:bCs/>
                <w:noProof/>
                <w:webHidden/>
              </w:rPr>
              <w:fldChar w:fldCharType="begin"/>
            </w:r>
            <w:r w:rsidR="001728FA" w:rsidRPr="001728FA">
              <w:rPr>
                <w:rFonts w:ascii="Times New Roman" w:hAnsi="Times New Roman" w:cs="Times New Roman"/>
                <w:b/>
                <w:bCs/>
                <w:noProof/>
                <w:webHidden/>
              </w:rPr>
              <w:instrText xml:space="preserve"> PAGEREF _Toc73304296 \h </w:instrText>
            </w:r>
            <w:r w:rsidR="001728FA" w:rsidRPr="001728FA">
              <w:rPr>
                <w:rFonts w:ascii="Times New Roman" w:hAnsi="Times New Roman" w:cs="Times New Roman"/>
                <w:b/>
                <w:bCs/>
                <w:noProof/>
                <w:webHidden/>
              </w:rPr>
            </w:r>
            <w:r w:rsidR="001728FA" w:rsidRPr="001728FA">
              <w:rPr>
                <w:rFonts w:ascii="Times New Roman" w:hAnsi="Times New Roman" w:cs="Times New Roman"/>
                <w:b/>
                <w:bCs/>
                <w:noProof/>
                <w:webHidden/>
              </w:rPr>
              <w:fldChar w:fldCharType="separate"/>
            </w:r>
            <w:r w:rsidR="001728FA" w:rsidRPr="001728FA">
              <w:rPr>
                <w:rFonts w:ascii="Times New Roman" w:hAnsi="Times New Roman" w:cs="Times New Roman"/>
                <w:b/>
                <w:bCs/>
                <w:noProof/>
                <w:webHidden/>
              </w:rPr>
              <w:t>3</w:t>
            </w:r>
            <w:r w:rsidR="001728FA" w:rsidRPr="001728FA">
              <w:rPr>
                <w:rFonts w:ascii="Times New Roman" w:hAnsi="Times New Roman" w:cs="Times New Roman"/>
                <w:b/>
                <w:bCs/>
                <w:noProof/>
                <w:webHidden/>
              </w:rPr>
              <w:fldChar w:fldCharType="end"/>
            </w:r>
          </w:hyperlink>
        </w:p>
        <w:p w14:paraId="135321E9" w14:textId="5E173994" w:rsidR="001728FA" w:rsidRDefault="009E7210" w:rsidP="001728FA">
          <w:pPr>
            <w:pStyle w:val="TOC1"/>
            <w:tabs>
              <w:tab w:val="right" w:leader="dot" w:pos="9350"/>
            </w:tabs>
            <w:ind w:left="0"/>
            <w:rPr>
              <w:rFonts w:asciiTheme="minorHAnsi" w:eastAsiaTheme="minorEastAsia" w:hAnsiTheme="minorHAnsi"/>
              <w:noProof/>
              <w:sz w:val="22"/>
              <w:szCs w:val="22"/>
            </w:rPr>
          </w:pPr>
          <w:hyperlink w:anchor="_Toc73304297" w:history="1">
            <w:r w:rsidR="001728FA" w:rsidRPr="001728FA">
              <w:rPr>
                <w:rStyle w:val="Hyperlink"/>
                <w:rFonts w:ascii="Times New Roman" w:hAnsi="Times New Roman" w:cs="Times New Roman"/>
                <w:b/>
                <w:bCs/>
                <w:noProof/>
              </w:rPr>
              <w:t>Bibliography</w:t>
            </w:r>
            <w:r w:rsidR="001728FA" w:rsidRPr="001728FA">
              <w:rPr>
                <w:rFonts w:ascii="Times New Roman" w:hAnsi="Times New Roman" w:cs="Times New Roman"/>
                <w:b/>
                <w:bCs/>
                <w:noProof/>
                <w:webHidden/>
              </w:rPr>
              <w:tab/>
            </w:r>
            <w:r w:rsidR="001728FA" w:rsidRPr="001728FA">
              <w:rPr>
                <w:rFonts w:ascii="Times New Roman" w:hAnsi="Times New Roman" w:cs="Times New Roman"/>
                <w:b/>
                <w:bCs/>
                <w:noProof/>
                <w:webHidden/>
              </w:rPr>
              <w:fldChar w:fldCharType="begin"/>
            </w:r>
            <w:r w:rsidR="001728FA" w:rsidRPr="001728FA">
              <w:rPr>
                <w:rFonts w:ascii="Times New Roman" w:hAnsi="Times New Roman" w:cs="Times New Roman"/>
                <w:b/>
                <w:bCs/>
                <w:noProof/>
                <w:webHidden/>
              </w:rPr>
              <w:instrText xml:space="preserve"> PAGEREF _Toc73304297 \h </w:instrText>
            </w:r>
            <w:r w:rsidR="001728FA" w:rsidRPr="001728FA">
              <w:rPr>
                <w:rFonts w:ascii="Times New Roman" w:hAnsi="Times New Roman" w:cs="Times New Roman"/>
                <w:b/>
                <w:bCs/>
                <w:noProof/>
                <w:webHidden/>
              </w:rPr>
            </w:r>
            <w:r w:rsidR="001728FA" w:rsidRPr="001728FA">
              <w:rPr>
                <w:rFonts w:ascii="Times New Roman" w:hAnsi="Times New Roman" w:cs="Times New Roman"/>
                <w:b/>
                <w:bCs/>
                <w:noProof/>
                <w:webHidden/>
              </w:rPr>
              <w:fldChar w:fldCharType="separate"/>
            </w:r>
            <w:r w:rsidR="001728FA" w:rsidRPr="001728FA">
              <w:rPr>
                <w:rFonts w:ascii="Times New Roman" w:hAnsi="Times New Roman" w:cs="Times New Roman"/>
                <w:b/>
                <w:bCs/>
                <w:noProof/>
                <w:webHidden/>
              </w:rPr>
              <w:t>4</w:t>
            </w:r>
            <w:r w:rsidR="001728FA" w:rsidRPr="001728FA">
              <w:rPr>
                <w:rFonts w:ascii="Times New Roman" w:hAnsi="Times New Roman" w:cs="Times New Roman"/>
                <w:b/>
                <w:bCs/>
                <w:noProof/>
                <w:webHidden/>
              </w:rPr>
              <w:fldChar w:fldCharType="end"/>
            </w:r>
          </w:hyperlink>
        </w:p>
        <w:p w14:paraId="7452F7EE" w14:textId="7748A588" w:rsidR="001728FA" w:rsidRDefault="001728FA">
          <w:r>
            <w:rPr>
              <w:b/>
              <w:bCs/>
              <w:noProof/>
            </w:rPr>
            <w:fldChar w:fldCharType="end"/>
          </w:r>
        </w:p>
      </w:sdtContent>
    </w:sdt>
    <w:p w14:paraId="342CE669" w14:textId="1A2D6EF3" w:rsidR="001728FA" w:rsidRPr="001728FA" w:rsidRDefault="001728FA" w:rsidP="001728FA">
      <w:pPr>
        <w:sectPr w:rsidR="001728FA" w:rsidRPr="001728FA" w:rsidSect="001728F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1"/>
          <w:cols w:space="720"/>
          <w:docGrid w:linePitch="360"/>
        </w:sectPr>
      </w:pPr>
    </w:p>
    <w:p w14:paraId="28529228" w14:textId="75C203F9" w:rsidR="001728FA" w:rsidRDefault="001728FA" w:rsidP="005737B9">
      <w:pPr>
        <w:pStyle w:val="Heading1"/>
        <w:spacing w:line="480" w:lineRule="auto"/>
      </w:pPr>
      <w:bookmarkStart w:id="13" w:name="_Toc73304293"/>
      <w:r>
        <w:lastRenderedPageBreak/>
        <w:t>Introduction</w:t>
      </w:r>
      <w:bookmarkEnd w:id="13"/>
    </w:p>
    <w:p w14:paraId="4E59C8E2" w14:textId="3169AF2D" w:rsidR="004B0493" w:rsidRDefault="004B0493" w:rsidP="005737B9">
      <w:pPr>
        <w:pStyle w:val="NormalWeb"/>
        <w:spacing w:before="0" w:beforeAutospacing="0" w:after="0" w:afterAutospacing="0" w:line="480" w:lineRule="auto"/>
        <w:ind w:firstLine="720"/>
        <w:rPr>
          <w:color w:val="0E101A"/>
        </w:rPr>
      </w:pPr>
      <w:r>
        <w:rPr>
          <w:color w:val="0E101A"/>
        </w:rPr>
        <w:t>Arguably, no portion of scripture has received worldwide attention than Matthew 28:18-20. Otherwise known as the great commission, Matthew 28:18-20 continues to draw much interest not only in mainstream churches but also among mushrooming Christian cultic movements. According to Chung, the reason is that this passage plays a crucial role as a motif in almost every Christian gathering, causing people to recall the significance of mission and evangelism.</w:t>
      </w:r>
      <w:r>
        <w:rPr>
          <w:rStyle w:val="FootnoteReference"/>
        </w:rPr>
        <w:footnoteReference w:id="1"/>
      </w:r>
      <w:r>
        <w:rPr>
          <w:color w:val="0E101A"/>
        </w:rPr>
        <w:t> That said, Matthew 28:18-20 is one of the most disobeyed portions of scripture in the entire Bible. Though taught and quoted by nearly all Christians, only a few believers have dared to do what it says. For this reason, Mookgo S. Kgatle’s article “Globalisation of missions: An exegesis on the Great Commission (Mt 28:18–20)” presents a perfect opportunity to look at this most-read but least obeyed Scripture portion of the Bible. </w:t>
      </w:r>
    </w:p>
    <w:p w14:paraId="657C6B07" w14:textId="77777777" w:rsidR="004B0493" w:rsidRDefault="004B0493" w:rsidP="005737B9">
      <w:pPr>
        <w:pStyle w:val="Heading1"/>
        <w:spacing w:line="480" w:lineRule="auto"/>
      </w:pPr>
      <w:r>
        <w:t>Summary</w:t>
      </w:r>
    </w:p>
    <w:p w14:paraId="7122DF14" w14:textId="11A521BF" w:rsidR="004B0493" w:rsidRDefault="004B0493" w:rsidP="005737B9">
      <w:pPr>
        <w:pStyle w:val="NormalWeb"/>
        <w:spacing w:before="0" w:beforeAutospacing="0" w:after="0" w:afterAutospacing="0" w:line="480" w:lineRule="auto"/>
        <w:ind w:firstLine="720"/>
        <w:rPr>
          <w:color w:val="0E101A"/>
        </w:rPr>
      </w:pPr>
      <w:r>
        <w:rPr>
          <w:color w:val="0E101A"/>
        </w:rPr>
        <w:t>Mookgo Kgatle begins his article by stating that Matthew 28:18-20 is an instruction from the Lord Jesus. His main argument is that an exegesis of Matthew 28:18-20 using a grammatical-historical approach is a call to global mission.</w:t>
      </w:r>
      <w:r w:rsidRPr="004B0493">
        <w:rPr>
          <w:rStyle w:val="FootnoteReference"/>
          <w:rFonts w:eastAsia="Malgun Gothic"/>
          <w:lang w:eastAsia="ko-KR"/>
        </w:rPr>
        <w:t xml:space="preserve"> </w:t>
      </w:r>
      <w:r>
        <w:rPr>
          <w:rStyle w:val="FootnoteReference"/>
          <w:rFonts w:eastAsia="Malgun Gothic"/>
          <w:lang w:eastAsia="ko-KR"/>
        </w:rPr>
        <w:footnoteReference w:id="2"/>
      </w:r>
      <w:r>
        <w:rPr>
          <w:color w:val="0E101A"/>
        </w:rPr>
        <w:t xml:space="preserve"> To support this assertion, </w:t>
      </w:r>
      <w:r w:rsidR="005737B9">
        <w:rPr>
          <w:color w:val="0E101A"/>
        </w:rPr>
        <w:t>Kgatle adds</w:t>
      </w:r>
      <w:r>
        <w:rPr>
          <w:color w:val="0E101A"/>
        </w:rPr>
        <w:t xml:space="preserve"> three arguments. The first he says, “Jesus’ authority in heaven and on earth is a global authority.</w:t>
      </w:r>
      <w:r w:rsidRPr="004B0493">
        <w:rPr>
          <w:rStyle w:val="FootnoteReference"/>
        </w:rPr>
        <w:t xml:space="preserve"> </w:t>
      </w:r>
      <w:r>
        <w:rPr>
          <w:rStyle w:val="FootnoteReference"/>
        </w:rPr>
        <w:footnoteReference w:id="3"/>
      </w:r>
      <w:r>
        <w:rPr>
          <w:color w:val="0E101A"/>
        </w:rPr>
        <w:t xml:space="preserve"> Second, he argues, “The commissioning of Jesus’ disciples to go and make disciples of all the nations, baptize them in the name of the Father, the Son, and the Holy Spirit, and teach them to </w:t>
      </w:r>
      <w:r>
        <w:rPr>
          <w:color w:val="0E101A"/>
        </w:rPr>
        <w:lastRenderedPageBreak/>
        <w:t>observe all things that Jesus has commanded them, is a call to global mission.”</w:t>
      </w:r>
      <w:r w:rsidR="005737B9">
        <w:rPr>
          <w:rStyle w:val="FootnoteReference"/>
          <w:color w:val="0E101A"/>
        </w:rPr>
        <w:footnoteReference w:id="4"/>
      </w:r>
      <w:r>
        <w:rPr>
          <w:color w:val="0E101A"/>
        </w:rPr>
        <w:t xml:space="preserve"> Lastly, Kgatle argues that “When Jesus promised the disciples that he will always be with them, he assured them of a global victory.” </w:t>
      </w:r>
      <w:r>
        <w:rPr>
          <w:rStyle w:val="FootnoteReference"/>
        </w:rPr>
        <w:footnoteReference w:id="5"/>
      </w:r>
    </w:p>
    <w:p w14:paraId="61D505EA" w14:textId="2B940295" w:rsidR="004B0493" w:rsidRDefault="004B0493" w:rsidP="004B0493">
      <w:pPr>
        <w:pStyle w:val="NormalWeb"/>
        <w:spacing w:before="0" w:beforeAutospacing="0" w:after="0" w:afterAutospacing="0" w:line="480" w:lineRule="auto"/>
        <w:ind w:firstLine="720"/>
        <w:rPr>
          <w:color w:val="0E101A"/>
        </w:rPr>
      </w:pPr>
      <w:r>
        <w:rPr>
          <w:color w:val="0E101A"/>
        </w:rPr>
        <w:t>Kgatle also analyzes the theological context of the passage. Drawing from various scholars, Moogko Kgatle asserts that the Great Commission is a climax and summary of the whole Gospel of Matthew. Furthermore, he states, “the passage functions as a support – even a command – allowing Christians to legitimize almost every kind of missionary work in order to compel non-Christians to become disciples of Jesus.”</w:t>
      </w:r>
      <w:r w:rsidRPr="004B0493">
        <w:rPr>
          <w:rStyle w:val="FootnoteReference"/>
        </w:rPr>
        <w:t xml:space="preserve"> </w:t>
      </w:r>
      <w:r>
        <w:rPr>
          <w:rStyle w:val="FootnoteReference"/>
        </w:rPr>
        <w:footnoteReference w:id="6"/>
      </w:r>
      <w:r>
        <w:t xml:space="preserve"> </w:t>
      </w:r>
    </w:p>
    <w:p w14:paraId="4450C164" w14:textId="77777777" w:rsidR="004B0493" w:rsidRDefault="004B0493" w:rsidP="005737B9">
      <w:pPr>
        <w:pStyle w:val="Heading1"/>
        <w:spacing w:line="480" w:lineRule="auto"/>
      </w:pPr>
      <w:r>
        <w:t>Analysis of the article</w:t>
      </w:r>
    </w:p>
    <w:p w14:paraId="5828DB29" w14:textId="14B18FF6" w:rsidR="004B0493" w:rsidRDefault="004B0493" w:rsidP="005737B9">
      <w:pPr>
        <w:pStyle w:val="NormalWeb"/>
        <w:spacing w:before="0" w:beforeAutospacing="0" w:after="0" w:afterAutospacing="0" w:line="480" w:lineRule="auto"/>
        <w:ind w:firstLine="720"/>
        <w:rPr>
          <w:color w:val="0E101A"/>
        </w:rPr>
      </w:pPr>
      <w:r>
        <w:rPr>
          <w:color w:val="0E101A"/>
        </w:rPr>
        <w:t>Looking carefully at Mookgo Kgatle’s article, it is plausible to suppose that he has done an excellent job. His 27 references in his short article are evidence that he has done thorough research. In addition to the wide scope of study and research, this article is also a brilliant theological masterpiece because of the necessary usage of the Greek language. In other words, the grammatical-historical approach that the author uses to exegete the passage is also commendable. Using Greek side by side with the English language, the author contributes significantly to the understanding of the portion. Also, readers benefit from how he delves into root words for the Greek language. For instance, the word “nations” translates the word </w:t>
      </w:r>
      <w:r>
        <w:rPr>
          <w:rStyle w:val="Emphasis"/>
          <w:color w:val="0E101A"/>
        </w:rPr>
        <w:t>ἔθνη</w:t>
      </w:r>
      <w:r>
        <w:rPr>
          <w:color w:val="0E101A"/>
        </w:rPr>
        <w:t xml:space="preserve"> from which we have the English word “ethnic.” Today, the world hardly thinks of nations as ethnic groups. Instead, they think of nations as countries. So, when ethnicity is mentioned, the meaning becomes clearer, that nation refers to tribes and languages. The </w:t>
      </w:r>
      <w:r>
        <w:rPr>
          <w:color w:val="0E101A"/>
        </w:rPr>
        <w:lastRenderedPageBreak/>
        <w:t>implication is that believers must walk on roads less trodden and take the gospel to all ethnic groups.</w:t>
      </w:r>
    </w:p>
    <w:p w14:paraId="326C9DD8" w14:textId="77777777" w:rsidR="004B0493" w:rsidRPr="004B0493" w:rsidRDefault="004B0493" w:rsidP="005737B9">
      <w:pPr>
        <w:pStyle w:val="Heading1"/>
        <w:spacing w:line="480" w:lineRule="auto"/>
      </w:pPr>
      <w:r w:rsidRPr="004B0493">
        <w:t>Conclusion</w:t>
      </w:r>
    </w:p>
    <w:p w14:paraId="0BF03B2B" w14:textId="2CD74EAC" w:rsidR="004B0493" w:rsidRDefault="004B0493" w:rsidP="005737B9">
      <w:pPr>
        <w:pStyle w:val="NormalWeb"/>
        <w:spacing w:before="0" w:beforeAutospacing="0" w:after="0" w:afterAutospacing="0" w:line="480" w:lineRule="auto"/>
        <w:ind w:firstLine="720"/>
        <w:rPr>
          <w:color w:val="0E101A"/>
        </w:rPr>
      </w:pPr>
      <w:r>
        <w:rPr>
          <w:color w:val="0E101A"/>
        </w:rPr>
        <w:t xml:space="preserve">In closing, Mookgo Kgatle’s article is a thorough exegesis of Matthew 28:18-20. His main argument that Matthew 28:18-20 is a call to global missions is well supported throughout the article using theological and grammatical-historical approaches. Matthew 28:18-20 is a command, not a suggestion. To go, believers must. The reason is that they have access to the authority that is bestowed on Christ to make disciples of all nations. To grace their ministry, Christ himself is with them. They are not alone. They have </w:t>
      </w:r>
      <w:r w:rsidR="00D46212">
        <w:rPr>
          <w:color w:val="0E101A"/>
        </w:rPr>
        <w:t>victory in Christ Jesus.</w:t>
      </w:r>
      <w:r>
        <w:rPr>
          <w:color w:val="0E101A"/>
        </w:rPr>
        <w:t>.</w:t>
      </w:r>
    </w:p>
    <w:p w14:paraId="1EF3E3B0" w14:textId="53D9574C" w:rsidR="004B0493" w:rsidRDefault="004B0493" w:rsidP="004B0493">
      <w:pPr>
        <w:pStyle w:val="NormalWeb"/>
        <w:spacing w:before="0" w:beforeAutospacing="0" w:after="0" w:afterAutospacing="0" w:line="480" w:lineRule="auto"/>
        <w:ind w:firstLine="720"/>
        <w:rPr>
          <w:color w:val="0E101A"/>
        </w:rPr>
      </w:pPr>
    </w:p>
    <w:p w14:paraId="6CD881E1" w14:textId="7B6EEA26" w:rsidR="004B0493" w:rsidRPr="004B0493" w:rsidRDefault="004B0493" w:rsidP="004B0493">
      <w:pPr>
        <w:ind w:firstLine="720"/>
      </w:pPr>
      <w:r>
        <w:br w:type="page"/>
      </w:r>
    </w:p>
    <w:p w14:paraId="59F3E8D4" w14:textId="1CF31C06" w:rsidR="005A2C1D" w:rsidRPr="005A2C1D" w:rsidRDefault="005A2C1D" w:rsidP="004B0493">
      <w:pPr>
        <w:pStyle w:val="Heading1"/>
      </w:pPr>
      <w:bookmarkStart w:id="14" w:name="_Toc73304297"/>
      <w:bookmarkEnd w:id="12"/>
      <w:r w:rsidRPr="005A2C1D">
        <w:lastRenderedPageBreak/>
        <w:t>Bibliography</w:t>
      </w:r>
      <w:bookmarkEnd w:id="14"/>
    </w:p>
    <w:p w14:paraId="3E84C621" w14:textId="4C8AFD97" w:rsidR="006F7FC4" w:rsidRDefault="006F7FC4" w:rsidP="004B0493">
      <w:pPr>
        <w:spacing w:before="240" w:line="240" w:lineRule="auto"/>
        <w:ind w:left="720" w:hanging="720"/>
        <w:rPr>
          <w:rFonts w:eastAsia="Malgun Gothic" w:cs="Times New Roman"/>
          <w:szCs w:val="24"/>
          <w:lang w:eastAsia="ko-KR"/>
        </w:rPr>
      </w:pPr>
      <w:r w:rsidRPr="006F7FC4">
        <w:rPr>
          <w:rFonts w:eastAsia="Malgun Gothic" w:cs="Times New Roman"/>
          <w:szCs w:val="24"/>
          <w:lang w:eastAsia="ko-KR"/>
        </w:rPr>
        <w:t>Kgatle, M.S.,</w:t>
      </w:r>
      <w:r>
        <w:rPr>
          <w:rFonts w:eastAsia="Malgun Gothic" w:cs="Times New Roman"/>
          <w:szCs w:val="24"/>
          <w:lang w:eastAsia="ko-KR"/>
        </w:rPr>
        <w:t xml:space="preserve"> “</w:t>
      </w:r>
      <w:r w:rsidRPr="006F7FC4">
        <w:rPr>
          <w:rFonts w:eastAsia="Malgun Gothic" w:cs="Times New Roman"/>
          <w:szCs w:val="24"/>
          <w:lang w:eastAsia="ko-KR"/>
        </w:rPr>
        <w:t>Globalisation of missions:</w:t>
      </w:r>
      <w:r>
        <w:rPr>
          <w:rFonts w:eastAsia="Malgun Gothic" w:cs="Times New Roman"/>
          <w:szCs w:val="24"/>
          <w:lang w:eastAsia="ko-KR"/>
        </w:rPr>
        <w:t xml:space="preserve"> </w:t>
      </w:r>
      <w:r w:rsidRPr="006F7FC4">
        <w:rPr>
          <w:rFonts w:eastAsia="Malgun Gothic" w:cs="Times New Roman"/>
          <w:szCs w:val="24"/>
          <w:lang w:eastAsia="ko-KR"/>
        </w:rPr>
        <w:t>An exegesis on the Great</w:t>
      </w:r>
      <w:r>
        <w:rPr>
          <w:rFonts w:eastAsia="Malgun Gothic" w:cs="Times New Roman"/>
          <w:szCs w:val="24"/>
          <w:lang w:eastAsia="ko-KR"/>
        </w:rPr>
        <w:t xml:space="preserve"> </w:t>
      </w:r>
      <w:r w:rsidRPr="006F7FC4">
        <w:rPr>
          <w:rFonts w:eastAsia="Malgun Gothic" w:cs="Times New Roman"/>
          <w:szCs w:val="24"/>
          <w:lang w:eastAsia="ko-KR"/>
        </w:rPr>
        <w:t>Commission (M</w:t>
      </w:r>
      <w:r w:rsidR="006F27A4">
        <w:rPr>
          <w:rFonts w:eastAsia="Malgun Gothic" w:cs="Times New Roman"/>
          <w:szCs w:val="24"/>
          <w:lang w:eastAsia="ko-KR"/>
        </w:rPr>
        <w:t>t</w:t>
      </w:r>
      <w:r>
        <w:rPr>
          <w:rFonts w:eastAsia="Malgun Gothic" w:cs="Times New Roman"/>
          <w:szCs w:val="24"/>
          <w:lang w:eastAsia="ko-KR"/>
        </w:rPr>
        <w:t xml:space="preserve"> </w:t>
      </w:r>
      <w:r w:rsidRPr="006F7FC4">
        <w:rPr>
          <w:rFonts w:eastAsia="Malgun Gothic" w:cs="Times New Roman"/>
          <w:szCs w:val="24"/>
          <w:lang w:eastAsia="ko-KR"/>
        </w:rPr>
        <w:t>28:18–20)</w:t>
      </w:r>
      <w:r>
        <w:rPr>
          <w:rFonts w:eastAsia="Malgun Gothic" w:cs="Times New Roman"/>
          <w:szCs w:val="24"/>
          <w:lang w:eastAsia="ko-KR"/>
        </w:rPr>
        <w:t>”</w:t>
      </w:r>
      <w:r w:rsidRPr="006F7FC4">
        <w:rPr>
          <w:rFonts w:eastAsia="Malgun Gothic" w:cs="Times New Roman"/>
          <w:szCs w:val="24"/>
          <w:lang w:eastAsia="ko-KR"/>
        </w:rPr>
        <w:t>,</w:t>
      </w:r>
      <w:r>
        <w:rPr>
          <w:rFonts w:eastAsia="Malgun Gothic" w:cs="Times New Roman"/>
          <w:szCs w:val="24"/>
          <w:lang w:eastAsia="ko-KR"/>
        </w:rPr>
        <w:t xml:space="preserve"> </w:t>
      </w:r>
      <w:r w:rsidRPr="006F7FC4">
        <w:rPr>
          <w:rFonts w:eastAsia="Malgun Gothic" w:cs="Times New Roman"/>
          <w:i/>
          <w:iCs/>
          <w:szCs w:val="24"/>
          <w:lang w:eastAsia="ko-KR"/>
        </w:rPr>
        <w:t>In die Skriflig</w:t>
      </w:r>
      <w:r w:rsidRPr="006F7FC4">
        <w:rPr>
          <w:rFonts w:eastAsia="Malgun Gothic" w:cs="Times New Roman"/>
          <w:szCs w:val="24"/>
          <w:lang w:eastAsia="ko-KR"/>
        </w:rPr>
        <w:t xml:space="preserve"> 52(1), </w:t>
      </w:r>
      <w:r>
        <w:rPr>
          <w:rFonts w:eastAsia="Malgun Gothic" w:cs="Times New Roman"/>
          <w:szCs w:val="24"/>
          <w:lang w:eastAsia="ko-KR"/>
        </w:rPr>
        <w:t>11 July 2018.</w:t>
      </w:r>
    </w:p>
    <w:p w14:paraId="0B2F680B" w14:textId="7D543A96" w:rsidR="00171B95" w:rsidRPr="006F7FC4" w:rsidRDefault="00171B95" w:rsidP="004B0493">
      <w:pPr>
        <w:spacing w:before="240" w:line="240" w:lineRule="auto"/>
        <w:ind w:left="720" w:hanging="720"/>
        <w:rPr>
          <w:rFonts w:eastAsia="Malgun Gothic" w:cs="Times New Roman"/>
          <w:szCs w:val="24"/>
          <w:lang w:eastAsia="ko-KR"/>
        </w:rPr>
      </w:pPr>
      <w:r w:rsidRPr="00171B95">
        <w:rPr>
          <w:rFonts w:eastAsia="Malgun Gothic" w:cs="Times New Roman"/>
          <w:szCs w:val="24"/>
          <w:lang w:eastAsia="ko-KR"/>
        </w:rPr>
        <w:t>Chung, Y.</w:t>
      </w:r>
      <w:r w:rsidR="00F6141D">
        <w:rPr>
          <w:rFonts w:eastAsia="Malgun Gothic" w:cs="Times New Roman"/>
          <w:szCs w:val="24"/>
          <w:lang w:eastAsia="ko-KR"/>
        </w:rPr>
        <w:t xml:space="preserve"> </w:t>
      </w:r>
      <w:r w:rsidRPr="00171B95">
        <w:rPr>
          <w:rFonts w:eastAsia="Malgun Gothic" w:cs="Times New Roman"/>
          <w:szCs w:val="24"/>
          <w:lang w:eastAsia="ko-KR"/>
        </w:rPr>
        <w:t>‘A postcolonial reading of the Great Commission (Matt 28:16–20)</w:t>
      </w:r>
      <w:r w:rsidR="004B0493">
        <w:rPr>
          <w:rFonts w:eastAsia="Malgun Gothic" w:cs="Times New Roman"/>
          <w:szCs w:val="24"/>
          <w:lang w:eastAsia="ko-KR"/>
        </w:rPr>
        <w:t xml:space="preserve"> </w:t>
      </w:r>
      <w:r w:rsidRPr="00171B95">
        <w:rPr>
          <w:rFonts w:eastAsia="Malgun Gothic" w:cs="Times New Roman"/>
          <w:szCs w:val="24"/>
          <w:lang w:eastAsia="ko-KR"/>
        </w:rPr>
        <w:t>with a Korean myth</w:t>
      </w:r>
      <w:r w:rsidR="00F6141D">
        <w:rPr>
          <w:rFonts w:eastAsia="Malgun Gothic" w:cs="Times New Roman"/>
          <w:szCs w:val="24"/>
          <w:lang w:eastAsia="ko-KR"/>
        </w:rPr>
        <w:t>.”</w:t>
      </w:r>
      <w:r w:rsidRPr="00171B95">
        <w:rPr>
          <w:rFonts w:eastAsia="Malgun Gothic" w:cs="Times New Roman"/>
          <w:szCs w:val="24"/>
          <w:lang w:eastAsia="ko-KR"/>
        </w:rPr>
        <w:t xml:space="preserve"> </w:t>
      </w:r>
      <w:r w:rsidRPr="00171B95">
        <w:rPr>
          <w:rFonts w:eastAsia="Malgun Gothic" w:cs="Times New Roman"/>
          <w:i/>
          <w:iCs/>
          <w:szCs w:val="24"/>
          <w:lang w:eastAsia="ko-KR"/>
        </w:rPr>
        <w:t>Theology Today</w:t>
      </w:r>
      <w:r w:rsidRPr="00171B95">
        <w:rPr>
          <w:rFonts w:eastAsia="Malgun Gothic" w:cs="Times New Roman"/>
          <w:szCs w:val="24"/>
          <w:lang w:eastAsia="ko-KR"/>
        </w:rPr>
        <w:t xml:space="preserve"> 72(3)</w:t>
      </w:r>
      <w:r>
        <w:rPr>
          <w:rFonts w:eastAsia="Malgun Gothic" w:cs="Times New Roman"/>
          <w:szCs w:val="24"/>
          <w:lang w:eastAsia="ko-KR"/>
        </w:rPr>
        <w:t xml:space="preserve"> (2015): </w:t>
      </w:r>
      <w:r w:rsidRPr="00171B95">
        <w:rPr>
          <w:rFonts w:eastAsia="Malgun Gothic" w:cs="Times New Roman"/>
          <w:szCs w:val="24"/>
          <w:lang w:eastAsia="ko-KR"/>
        </w:rPr>
        <w:t>276–288</w:t>
      </w:r>
      <w:r>
        <w:rPr>
          <w:rFonts w:eastAsia="Malgun Gothic" w:cs="Times New Roman"/>
          <w:szCs w:val="24"/>
          <w:lang w:eastAsia="ko-KR"/>
        </w:rPr>
        <w:t>.</w:t>
      </w:r>
      <w:r w:rsidR="00F6141D">
        <w:rPr>
          <w:rFonts w:eastAsia="Malgun Gothic" w:cs="Times New Roman"/>
          <w:szCs w:val="24"/>
          <w:lang w:eastAsia="ko-KR"/>
        </w:rPr>
        <w:t xml:space="preserve"> </w:t>
      </w:r>
      <w:r w:rsidR="00F6141D">
        <w:t xml:space="preserve">https://doi.org/10.1177/ 0040573615601466 </w:t>
      </w:r>
    </w:p>
    <w:p w14:paraId="3586D877" w14:textId="77777777" w:rsidR="005A2C1D" w:rsidRPr="002B71D6" w:rsidRDefault="005A2C1D" w:rsidP="004B0493">
      <w:pPr>
        <w:ind w:firstLine="720"/>
      </w:pPr>
    </w:p>
    <w:sectPr w:rsidR="005A2C1D" w:rsidRPr="002B71D6"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A821E" w14:textId="77777777" w:rsidR="009E7210" w:rsidRDefault="009E7210" w:rsidP="00DF7AA0">
      <w:pPr>
        <w:spacing w:line="240" w:lineRule="auto"/>
      </w:pPr>
      <w:r>
        <w:separator/>
      </w:r>
    </w:p>
  </w:endnote>
  <w:endnote w:type="continuationSeparator" w:id="0">
    <w:p w14:paraId="49848DBE" w14:textId="77777777" w:rsidR="009E7210" w:rsidRDefault="009E7210"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9E7210"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30748" w14:textId="77777777" w:rsidR="009E7210" w:rsidRDefault="009E7210" w:rsidP="00DF7AA0">
      <w:pPr>
        <w:spacing w:line="240" w:lineRule="auto"/>
      </w:pPr>
      <w:r>
        <w:separator/>
      </w:r>
    </w:p>
  </w:footnote>
  <w:footnote w:type="continuationSeparator" w:id="0">
    <w:p w14:paraId="0A17F949" w14:textId="77777777" w:rsidR="009E7210" w:rsidRDefault="009E7210" w:rsidP="00DF7AA0">
      <w:pPr>
        <w:spacing w:line="240" w:lineRule="auto"/>
      </w:pPr>
      <w:r>
        <w:continuationSeparator/>
      </w:r>
    </w:p>
  </w:footnote>
  <w:footnote w:id="1">
    <w:p w14:paraId="43AAD2E7" w14:textId="77777777" w:rsidR="004B0493" w:rsidRPr="005737B9" w:rsidRDefault="004B0493" w:rsidP="004B0493">
      <w:pPr>
        <w:spacing w:line="240" w:lineRule="auto"/>
        <w:rPr>
          <w:rFonts w:eastAsia="Malgun Gothic" w:cs="Times New Roman"/>
          <w:sz w:val="20"/>
          <w:szCs w:val="20"/>
          <w:lang w:eastAsia="ko-KR"/>
        </w:rPr>
      </w:pPr>
      <w:r>
        <w:rPr>
          <w:rStyle w:val="FootnoteReference"/>
        </w:rPr>
        <w:footnoteRef/>
      </w:r>
      <w:r>
        <w:t xml:space="preserve"> </w:t>
      </w:r>
      <w:r w:rsidRPr="005737B9">
        <w:rPr>
          <w:rFonts w:eastAsia="Malgun Gothic" w:cs="Times New Roman"/>
          <w:sz w:val="20"/>
          <w:szCs w:val="20"/>
          <w:lang w:eastAsia="ko-KR"/>
        </w:rPr>
        <w:t>Y. Chung, ‘A postcolonial reading of the Great Commission (Matt 28:16–20)</w:t>
      </w:r>
    </w:p>
    <w:p w14:paraId="0B69D192" w14:textId="77777777" w:rsidR="004B0493" w:rsidRPr="005737B9" w:rsidRDefault="004B0493" w:rsidP="004B0493">
      <w:pPr>
        <w:pStyle w:val="FootnoteText"/>
      </w:pPr>
      <w:r w:rsidRPr="005737B9">
        <w:rPr>
          <w:rFonts w:eastAsia="Malgun Gothic" w:cs="Times New Roman"/>
          <w:lang w:eastAsia="ko-KR"/>
        </w:rPr>
        <w:t xml:space="preserve">with a Korean myth.” </w:t>
      </w:r>
      <w:r w:rsidRPr="005737B9">
        <w:rPr>
          <w:rFonts w:eastAsia="Malgun Gothic" w:cs="Times New Roman"/>
          <w:i/>
          <w:iCs/>
          <w:lang w:eastAsia="ko-KR"/>
        </w:rPr>
        <w:t>Theology Today</w:t>
      </w:r>
      <w:r w:rsidRPr="005737B9">
        <w:rPr>
          <w:rFonts w:eastAsia="Malgun Gothic" w:cs="Times New Roman"/>
          <w:lang w:eastAsia="ko-KR"/>
        </w:rPr>
        <w:t xml:space="preserve"> 72(3) (2015): 276.</w:t>
      </w:r>
    </w:p>
  </w:footnote>
  <w:footnote w:id="2">
    <w:p w14:paraId="0EED04A5" w14:textId="77777777" w:rsidR="004B0493" w:rsidRPr="005737B9" w:rsidRDefault="004B0493" w:rsidP="004B0493">
      <w:pPr>
        <w:spacing w:line="240" w:lineRule="auto"/>
        <w:rPr>
          <w:rFonts w:eastAsia="Malgun Gothic" w:cs="Times New Roman"/>
          <w:sz w:val="20"/>
          <w:szCs w:val="20"/>
          <w:lang w:eastAsia="ko-KR"/>
        </w:rPr>
      </w:pPr>
      <w:r w:rsidRPr="005737B9">
        <w:rPr>
          <w:rStyle w:val="FootnoteReference"/>
          <w:szCs w:val="20"/>
        </w:rPr>
        <w:footnoteRef/>
      </w:r>
      <w:r w:rsidRPr="005737B9">
        <w:rPr>
          <w:sz w:val="20"/>
          <w:szCs w:val="20"/>
        </w:rPr>
        <w:t xml:space="preserve"> </w:t>
      </w:r>
      <w:r w:rsidRPr="005737B9">
        <w:rPr>
          <w:rFonts w:eastAsia="Malgun Gothic" w:cs="Times New Roman"/>
          <w:sz w:val="20"/>
          <w:szCs w:val="20"/>
          <w:lang w:eastAsia="ko-KR"/>
        </w:rPr>
        <w:t xml:space="preserve">Kgatle, M.S., “Globalisation of missions: An exegesis on the Great Commission (Mt 28:18–20)”, </w:t>
      </w:r>
      <w:r w:rsidRPr="005737B9">
        <w:rPr>
          <w:rFonts w:eastAsia="Malgun Gothic" w:cs="Times New Roman"/>
          <w:i/>
          <w:iCs/>
          <w:sz w:val="20"/>
          <w:szCs w:val="20"/>
          <w:lang w:eastAsia="ko-KR"/>
        </w:rPr>
        <w:t>In die Skriflig</w:t>
      </w:r>
      <w:r w:rsidRPr="005737B9">
        <w:rPr>
          <w:rFonts w:eastAsia="Malgun Gothic" w:cs="Times New Roman"/>
          <w:sz w:val="20"/>
          <w:szCs w:val="20"/>
          <w:lang w:eastAsia="ko-KR"/>
        </w:rPr>
        <w:t xml:space="preserve"> 52(1), (11 July 2018): 1.</w:t>
      </w:r>
    </w:p>
    <w:p w14:paraId="35D7EE28" w14:textId="77777777" w:rsidR="004B0493" w:rsidRPr="005737B9" w:rsidRDefault="004B0493" w:rsidP="004B0493">
      <w:pPr>
        <w:pStyle w:val="FootnoteText"/>
      </w:pPr>
    </w:p>
  </w:footnote>
  <w:footnote w:id="3">
    <w:p w14:paraId="10E0FF57" w14:textId="77777777" w:rsidR="004B0493" w:rsidRDefault="004B0493" w:rsidP="004B0493">
      <w:pPr>
        <w:pStyle w:val="FootnoteText"/>
      </w:pPr>
      <w:r w:rsidRPr="005737B9">
        <w:rPr>
          <w:rStyle w:val="FootnoteReference"/>
        </w:rPr>
        <w:footnoteRef/>
      </w:r>
      <w:r w:rsidRPr="005737B9">
        <w:t xml:space="preserve"> Ibid., 1.</w:t>
      </w:r>
    </w:p>
  </w:footnote>
  <w:footnote w:id="4">
    <w:p w14:paraId="070C6658" w14:textId="07E159F6" w:rsidR="005737B9" w:rsidRDefault="005737B9">
      <w:pPr>
        <w:pStyle w:val="FootnoteText"/>
      </w:pPr>
      <w:r>
        <w:rPr>
          <w:rStyle w:val="FootnoteReference"/>
        </w:rPr>
        <w:footnoteRef/>
      </w:r>
      <w:r>
        <w:t xml:space="preserve"> Ibid., 1.</w:t>
      </w:r>
    </w:p>
  </w:footnote>
  <w:footnote w:id="5">
    <w:p w14:paraId="7FE69F40" w14:textId="77777777" w:rsidR="004B0493" w:rsidRDefault="004B0493" w:rsidP="004B0493">
      <w:pPr>
        <w:pStyle w:val="FootnoteText"/>
      </w:pPr>
      <w:r>
        <w:rPr>
          <w:rStyle w:val="FootnoteReference"/>
        </w:rPr>
        <w:footnoteRef/>
      </w:r>
      <w:r>
        <w:t xml:space="preserve"> Ibid., 1.</w:t>
      </w:r>
    </w:p>
  </w:footnote>
  <w:footnote w:id="6">
    <w:p w14:paraId="73AB6574" w14:textId="77777777" w:rsidR="004B0493" w:rsidRDefault="004B0493" w:rsidP="004B0493">
      <w:pPr>
        <w:pStyle w:val="FootnoteText"/>
      </w:pPr>
      <w:r>
        <w:rPr>
          <w:rStyle w:val="FootnoteReference"/>
        </w:rPr>
        <w:footnoteRef/>
      </w:r>
      <w:r>
        <w:t xml:space="preserve"> </w:t>
      </w:r>
      <w:r>
        <w:rPr>
          <w:rFonts w:eastAsia="Malgun Gothic" w:cs="Times New Roman"/>
          <w:szCs w:val="24"/>
          <w:lang w:eastAsia="ko-KR"/>
        </w:rPr>
        <w:t>Ibid.,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4240C"/>
    <w:rsid w:val="000616B7"/>
    <w:rsid w:val="000E6190"/>
    <w:rsid w:val="000F2E47"/>
    <w:rsid w:val="00106286"/>
    <w:rsid w:val="00111A34"/>
    <w:rsid w:val="00114B0E"/>
    <w:rsid w:val="00134BCC"/>
    <w:rsid w:val="001517D4"/>
    <w:rsid w:val="00171B95"/>
    <w:rsid w:val="001728FA"/>
    <w:rsid w:val="00174C31"/>
    <w:rsid w:val="001918B7"/>
    <w:rsid w:val="001D2D8C"/>
    <w:rsid w:val="001E6C0A"/>
    <w:rsid w:val="001F4784"/>
    <w:rsid w:val="002555F0"/>
    <w:rsid w:val="002A6EBA"/>
    <w:rsid w:val="002B71D6"/>
    <w:rsid w:val="002B7C8F"/>
    <w:rsid w:val="002F6165"/>
    <w:rsid w:val="0030455F"/>
    <w:rsid w:val="003134DA"/>
    <w:rsid w:val="0034056B"/>
    <w:rsid w:val="0037185F"/>
    <w:rsid w:val="00384474"/>
    <w:rsid w:val="00397061"/>
    <w:rsid w:val="003E7560"/>
    <w:rsid w:val="003F6E92"/>
    <w:rsid w:val="00404BF1"/>
    <w:rsid w:val="00432FB1"/>
    <w:rsid w:val="00495068"/>
    <w:rsid w:val="004B0493"/>
    <w:rsid w:val="004D0324"/>
    <w:rsid w:val="004F1359"/>
    <w:rsid w:val="005449C8"/>
    <w:rsid w:val="0056155C"/>
    <w:rsid w:val="00565EB9"/>
    <w:rsid w:val="005737B9"/>
    <w:rsid w:val="005765C0"/>
    <w:rsid w:val="005A2C1D"/>
    <w:rsid w:val="005E7F5F"/>
    <w:rsid w:val="00614FDE"/>
    <w:rsid w:val="00633252"/>
    <w:rsid w:val="00674BC3"/>
    <w:rsid w:val="00684DC2"/>
    <w:rsid w:val="00690AD8"/>
    <w:rsid w:val="006F27A4"/>
    <w:rsid w:val="006F7FC4"/>
    <w:rsid w:val="007104C1"/>
    <w:rsid w:val="00765504"/>
    <w:rsid w:val="007E71EC"/>
    <w:rsid w:val="00805553"/>
    <w:rsid w:val="00820E36"/>
    <w:rsid w:val="00823597"/>
    <w:rsid w:val="0083355D"/>
    <w:rsid w:val="00850EEE"/>
    <w:rsid w:val="00861DD8"/>
    <w:rsid w:val="008801BF"/>
    <w:rsid w:val="00890311"/>
    <w:rsid w:val="009131E7"/>
    <w:rsid w:val="00934FC4"/>
    <w:rsid w:val="00946D83"/>
    <w:rsid w:val="009627FA"/>
    <w:rsid w:val="009C136E"/>
    <w:rsid w:val="009E46B4"/>
    <w:rsid w:val="009E7210"/>
    <w:rsid w:val="00A07CBC"/>
    <w:rsid w:val="00A36B5C"/>
    <w:rsid w:val="00A43B4D"/>
    <w:rsid w:val="00A70889"/>
    <w:rsid w:val="00A752F0"/>
    <w:rsid w:val="00A82676"/>
    <w:rsid w:val="00A83E6E"/>
    <w:rsid w:val="00AB4996"/>
    <w:rsid w:val="00AC0CC1"/>
    <w:rsid w:val="00AC6B06"/>
    <w:rsid w:val="00AE1A54"/>
    <w:rsid w:val="00AE1E2E"/>
    <w:rsid w:val="00AE6B26"/>
    <w:rsid w:val="00AF315F"/>
    <w:rsid w:val="00AF3CDD"/>
    <w:rsid w:val="00B334E6"/>
    <w:rsid w:val="00B34C91"/>
    <w:rsid w:val="00B8212F"/>
    <w:rsid w:val="00BB06A1"/>
    <w:rsid w:val="00BF09C1"/>
    <w:rsid w:val="00BF7136"/>
    <w:rsid w:val="00C05F96"/>
    <w:rsid w:val="00C6173E"/>
    <w:rsid w:val="00C75AB6"/>
    <w:rsid w:val="00CD0843"/>
    <w:rsid w:val="00CE19FA"/>
    <w:rsid w:val="00CE489C"/>
    <w:rsid w:val="00D072C2"/>
    <w:rsid w:val="00D46212"/>
    <w:rsid w:val="00DB45AF"/>
    <w:rsid w:val="00DF7AA0"/>
    <w:rsid w:val="00E33F9B"/>
    <w:rsid w:val="00E54021"/>
    <w:rsid w:val="00E6776E"/>
    <w:rsid w:val="00ED04CE"/>
    <w:rsid w:val="00ED27B4"/>
    <w:rsid w:val="00F228DC"/>
    <w:rsid w:val="00F6141D"/>
    <w:rsid w:val="00F630B3"/>
    <w:rsid w:val="00F94E20"/>
    <w:rsid w:val="00FB6365"/>
    <w:rsid w:val="00FD1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4B0493"/>
    <w:pPr>
      <w:keepNext/>
      <w:keepLines/>
      <w:spacing w:before="240" w:line="240" w:lineRule="auto"/>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49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6</Pages>
  <Words>736</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15</cp:revision>
  <dcterms:created xsi:type="dcterms:W3CDTF">2021-05-29T19:05:00Z</dcterms:created>
  <dcterms:modified xsi:type="dcterms:W3CDTF">2021-05-31T02:04:00Z</dcterms:modified>
</cp:coreProperties>
</file>