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bookmarkStart w:id="0" w:name="_Hlk72711402"/>
    </w:p>
    <w:p w14:paraId="5D55129F" w14:textId="77777777" w:rsidR="00F630B3" w:rsidRPr="00F630B3" w:rsidRDefault="00F630B3" w:rsidP="00F630B3">
      <w:pPr>
        <w:jc w:val="center"/>
        <w:rPr>
          <w:rFonts w:eastAsia="Malgun Gothic" w:cs="Times New Roman"/>
          <w:szCs w:val="24"/>
          <w:lang w:eastAsia="ko-KR"/>
        </w:rPr>
      </w:pPr>
      <w:bookmarkStart w:id="1" w:name="_Toc58310283"/>
      <w:bookmarkStart w:id="2" w:name="_Toc56985422"/>
      <w:bookmarkStart w:id="3" w:name="_Toc56981547"/>
      <w:bookmarkStart w:id="4" w:name="_Toc56981059"/>
      <w:bookmarkStart w:id="5" w:name="_Toc56631515"/>
      <w:bookmarkStart w:id="6" w:name="_Toc55367818"/>
      <w:bookmarkStart w:id="7" w:name="_Toc56175211"/>
      <w:bookmarkStart w:id="8" w:name="_Toc64731567"/>
      <w:bookmarkStart w:id="9" w:name="_Toc65892060"/>
      <w:r w:rsidRPr="00F630B3">
        <w:rPr>
          <w:rFonts w:eastAsia="Malgun Gothic" w:cs="Times New Roman"/>
          <w:szCs w:val="24"/>
          <w:lang w:eastAsia="ko-KR"/>
        </w:rPr>
        <w:t>LIBERTY UNIVERSITY SCHOOL OF DIVINITY</w:t>
      </w:r>
    </w:p>
    <w:p w14:paraId="23B8350E" w14:textId="77777777" w:rsidR="00F630B3" w:rsidRPr="00F630B3" w:rsidRDefault="00F630B3" w:rsidP="00F630B3">
      <w:pPr>
        <w:spacing w:line="240" w:lineRule="auto"/>
        <w:jc w:val="center"/>
        <w:rPr>
          <w:rFonts w:eastAsia="Malgun Gothic" w:cs="Times New Roman"/>
          <w:szCs w:val="24"/>
          <w:lang w:eastAsia="ko-KR"/>
        </w:rPr>
      </w:pPr>
    </w:p>
    <w:p w14:paraId="6CD82503" w14:textId="77777777" w:rsidR="00F630B3" w:rsidRPr="00F630B3" w:rsidRDefault="00F630B3" w:rsidP="00F630B3">
      <w:pPr>
        <w:spacing w:line="240" w:lineRule="auto"/>
        <w:jc w:val="center"/>
        <w:rPr>
          <w:rFonts w:eastAsia="Malgun Gothic" w:cs="Times New Roman"/>
          <w:szCs w:val="24"/>
          <w:lang w:eastAsia="ko-KR"/>
        </w:rPr>
      </w:pPr>
    </w:p>
    <w:p w14:paraId="3B10D682" w14:textId="77777777" w:rsidR="00F630B3" w:rsidRPr="00F630B3" w:rsidRDefault="00F630B3" w:rsidP="00F630B3">
      <w:pPr>
        <w:spacing w:line="240" w:lineRule="auto"/>
        <w:jc w:val="center"/>
        <w:rPr>
          <w:rFonts w:eastAsia="Malgun Gothic" w:cs="Times New Roman"/>
          <w:szCs w:val="24"/>
          <w:lang w:eastAsia="ko-KR"/>
        </w:rPr>
      </w:pPr>
    </w:p>
    <w:p w14:paraId="1001FACB" w14:textId="77777777" w:rsidR="00F630B3" w:rsidRPr="00F630B3" w:rsidRDefault="00F630B3" w:rsidP="00F630B3">
      <w:pPr>
        <w:spacing w:line="240" w:lineRule="auto"/>
        <w:jc w:val="center"/>
        <w:rPr>
          <w:rFonts w:eastAsia="Malgun Gothic" w:cs="Times New Roman"/>
          <w:szCs w:val="24"/>
          <w:lang w:eastAsia="ko-KR"/>
        </w:rPr>
      </w:pPr>
    </w:p>
    <w:p w14:paraId="36FEEEC0" w14:textId="77777777" w:rsidR="00F630B3" w:rsidRPr="00F630B3" w:rsidRDefault="00F630B3" w:rsidP="00F630B3">
      <w:pPr>
        <w:spacing w:line="240" w:lineRule="auto"/>
        <w:jc w:val="center"/>
        <w:rPr>
          <w:rFonts w:eastAsia="Malgun Gothic" w:cs="Times New Roman"/>
          <w:szCs w:val="24"/>
          <w:lang w:eastAsia="ko-KR"/>
        </w:rPr>
      </w:pPr>
    </w:p>
    <w:p w14:paraId="6D1A0DA5" w14:textId="77777777" w:rsidR="00F630B3" w:rsidRPr="00F630B3" w:rsidRDefault="00F630B3" w:rsidP="00F630B3">
      <w:pPr>
        <w:spacing w:line="240" w:lineRule="auto"/>
        <w:jc w:val="center"/>
        <w:rPr>
          <w:rFonts w:eastAsia="Malgun Gothic" w:cs="Times New Roman"/>
          <w:szCs w:val="24"/>
          <w:lang w:eastAsia="ko-KR"/>
        </w:rPr>
      </w:pPr>
    </w:p>
    <w:p w14:paraId="1B8A613D" w14:textId="77777777" w:rsidR="00F630B3" w:rsidRPr="00F630B3" w:rsidRDefault="00F630B3" w:rsidP="00F630B3">
      <w:pPr>
        <w:spacing w:line="240" w:lineRule="auto"/>
        <w:jc w:val="center"/>
        <w:rPr>
          <w:rFonts w:eastAsia="Malgun Gothic" w:cs="Times New Roman"/>
          <w:szCs w:val="24"/>
          <w:lang w:eastAsia="ko-KR"/>
        </w:rPr>
      </w:pPr>
    </w:p>
    <w:p w14:paraId="26C12306" w14:textId="500B128A" w:rsidR="00F630B3" w:rsidRPr="00F630B3" w:rsidRDefault="00AB4996" w:rsidP="00F630B3">
      <w:pPr>
        <w:spacing w:line="240" w:lineRule="auto"/>
        <w:jc w:val="center"/>
        <w:rPr>
          <w:rFonts w:eastAsia="Malgun Gothic" w:cs="Times New Roman"/>
          <w:szCs w:val="24"/>
          <w:lang w:eastAsia="ko-KR"/>
        </w:rPr>
      </w:pPr>
      <w:r>
        <w:rPr>
          <w:rFonts w:eastAsia="Malgun Gothic" w:cs="Times New Roman"/>
          <w:szCs w:val="24"/>
          <w:lang w:eastAsia="ko-KR"/>
        </w:rPr>
        <w:t>Article Reflection</w:t>
      </w:r>
      <w:r w:rsidR="00F630B3" w:rsidRPr="00F630B3">
        <w:rPr>
          <w:rFonts w:eastAsia="Malgun Gothic" w:cs="Times New Roman"/>
          <w:szCs w:val="24"/>
          <w:lang w:eastAsia="ko-KR"/>
        </w:rPr>
        <w:t xml:space="preserve"> of</w:t>
      </w:r>
    </w:p>
    <w:p w14:paraId="5A696A0E" w14:textId="014689EA" w:rsidR="00F630B3" w:rsidRPr="00F630B3" w:rsidRDefault="00AB4996" w:rsidP="00F630B3">
      <w:pPr>
        <w:spacing w:line="240" w:lineRule="auto"/>
        <w:jc w:val="center"/>
        <w:rPr>
          <w:rFonts w:eastAsia="Malgun Gothic" w:cs="Times New Roman"/>
          <w:szCs w:val="24"/>
          <w:lang w:eastAsia="ko-KR"/>
        </w:rPr>
      </w:pPr>
      <w:r>
        <w:rPr>
          <w:rFonts w:eastAsia="Malgun Gothic" w:cs="Times New Roman"/>
          <w:szCs w:val="24"/>
          <w:lang w:eastAsia="ko-KR"/>
        </w:rPr>
        <w:t>Ekblad</w:t>
      </w:r>
      <w:r w:rsidR="00F630B3" w:rsidRPr="00F630B3">
        <w:rPr>
          <w:rFonts w:eastAsia="Malgun Gothic" w:cs="Times New Roman"/>
          <w:szCs w:val="24"/>
          <w:lang w:eastAsia="ko-KR"/>
        </w:rPr>
        <w:t xml:space="preserve">, </w:t>
      </w:r>
      <w:r>
        <w:rPr>
          <w:rFonts w:eastAsia="Malgun Gothic" w:cs="Times New Roman"/>
          <w:szCs w:val="24"/>
          <w:lang w:eastAsia="ko-KR"/>
        </w:rPr>
        <w:t>Bob</w:t>
      </w:r>
      <w:r w:rsidR="00F630B3" w:rsidRPr="00F630B3">
        <w:rPr>
          <w:rFonts w:eastAsia="Malgun Gothic" w:cs="Times New Roman"/>
          <w:szCs w:val="24"/>
          <w:lang w:eastAsia="ko-KR"/>
        </w:rPr>
        <w:t>. “</w:t>
      </w:r>
      <w:r w:rsidR="00A83E6E">
        <w:rPr>
          <w:rFonts w:eastAsia="Malgun Gothic" w:cs="Times New Roman"/>
          <w:szCs w:val="24"/>
          <w:lang w:eastAsia="ko-KR"/>
        </w:rPr>
        <w:t xml:space="preserve">Reading Scripture for Good News That Crosses Barriers of Race/Ethnicity, Class and Culture,” </w:t>
      </w:r>
      <w:r w:rsidR="00A83E6E" w:rsidRPr="00A83E6E">
        <w:rPr>
          <w:rFonts w:eastAsia="Malgun Gothic" w:cs="Times New Roman"/>
          <w:i/>
          <w:iCs/>
          <w:szCs w:val="24"/>
          <w:lang w:eastAsia="ko-KR"/>
        </w:rPr>
        <w:t>Interpretation</w:t>
      </w:r>
      <w:r w:rsidR="00A83E6E">
        <w:rPr>
          <w:rFonts w:eastAsia="Malgun Gothic" w:cs="Times New Roman"/>
          <w:szCs w:val="24"/>
          <w:lang w:eastAsia="ko-KR"/>
        </w:rPr>
        <w:t xml:space="preserve"> </w:t>
      </w:r>
      <w:r w:rsidR="000F2E47">
        <w:rPr>
          <w:rFonts w:eastAsia="Malgun Gothic" w:cs="Times New Roman"/>
          <w:szCs w:val="24"/>
          <w:lang w:eastAsia="ko-KR"/>
        </w:rPr>
        <w:t>65</w:t>
      </w:r>
      <w:r w:rsidR="00765504">
        <w:rPr>
          <w:rFonts w:eastAsia="Malgun Gothic" w:cs="Times New Roman"/>
          <w:szCs w:val="24"/>
          <w:lang w:eastAsia="ko-KR"/>
        </w:rPr>
        <w:t xml:space="preserve">, no. 3 </w:t>
      </w:r>
      <w:r w:rsidR="00F630B3" w:rsidRPr="00F630B3">
        <w:rPr>
          <w:rFonts w:eastAsia="Malgun Gothic" w:cs="Times New Roman"/>
          <w:szCs w:val="24"/>
          <w:lang w:eastAsia="ko-KR"/>
        </w:rPr>
        <w:t>(</w:t>
      </w:r>
      <w:r w:rsidR="00A83E6E">
        <w:rPr>
          <w:rFonts w:eastAsia="Malgun Gothic" w:cs="Times New Roman"/>
          <w:szCs w:val="24"/>
          <w:lang w:eastAsia="ko-KR"/>
        </w:rPr>
        <w:t xml:space="preserve">July </w:t>
      </w:r>
      <w:r w:rsidR="008801BF">
        <w:rPr>
          <w:rFonts w:eastAsia="Malgun Gothic" w:cs="Times New Roman"/>
          <w:szCs w:val="24"/>
          <w:lang w:eastAsia="ko-KR"/>
        </w:rPr>
        <w:t>2011)</w:t>
      </w:r>
      <w:r w:rsidR="00F630B3" w:rsidRPr="00F630B3">
        <w:rPr>
          <w:rFonts w:eastAsia="Malgun Gothic" w:cs="Times New Roman"/>
          <w:szCs w:val="24"/>
          <w:lang w:eastAsia="ko-KR"/>
        </w:rPr>
        <w:t xml:space="preserve">: </w:t>
      </w:r>
      <w:r w:rsidR="00A83E6E">
        <w:rPr>
          <w:rFonts w:eastAsia="Malgun Gothic" w:cs="Times New Roman"/>
          <w:szCs w:val="24"/>
          <w:lang w:eastAsia="ko-KR"/>
        </w:rPr>
        <w:t>229-248.</w:t>
      </w:r>
    </w:p>
    <w:p w14:paraId="191682DD" w14:textId="77777777" w:rsidR="00F630B3" w:rsidRPr="00F630B3" w:rsidRDefault="00F630B3" w:rsidP="00F630B3">
      <w:pPr>
        <w:spacing w:line="240" w:lineRule="auto"/>
        <w:jc w:val="center"/>
        <w:rPr>
          <w:rFonts w:eastAsia="Malgun Gothic" w:cs="Times New Roman"/>
          <w:szCs w:val="24"/>
          <w:lang w:eastAsia="ko-KR"/>
        </w:rPr>
      </w:pPr>
    </w:p>
    <w:p w14:paraId="0FA721B8" w14:textId="77777777" w:rsidR="00F630B3" w:rsidRPr="00F630B3" w:rsidRDefault="00F630B3" w:rsidP="00F630B3">
      <w:pPr>
        <w:spacing w:line="240" w:lineRule="auto"/>
        <w:jc w:val="center"/>
        <w:rPr>
          <w:rFonts w:eastAsia="Malgun Gothic" w:cs="Times New Roman"/>
          <w:szCs w:val="24"/>
          <w:lang w:eastAsia="ko-KR"/>
        </w:rPr>
      </w:pPr>
    </w:p>
    <w:p w14:paraId="19C5439F" w14:textId="77777777" w:rsidR="00F630B3" w:rsidRPr="00F630B3" w:rsidRDefault="00F630B3" w:rsidP="00F630B3">
      <w:pPr>
        <w:spacing w:line="240" w:lineRule="auto"/>
        <w:jc w:val="center"/>
        <w:rPr>
          <w:rFonts w:eastAsia="Malgun Gothic" w:cs="Times New Roman"/>
          <w:szCs w:val="24"/>
          <w:lang w:eastAsia="ko-KR"/>
        </w:rPr>
      </w:pPr>
    </w:p>
    <w:p w14:paraId="3FBFF1F2" w14:textId="77777777" w:rsidR="00F630B3" w:rsidRPr="00F630B3" w:rsidRDefault="00F630B3" w:rsidP="00F630B3">
      <w:pPr>
        <w:spacing w:line="240" w:lineRule="auto"/>
        <w:jc w:val="center"/>
        <w:rPr>
          <w:rFonts w:eastAsia="Malgun Gothic" w:cs="Times New Roman"/>
          <w:szCs w:val="24"/>
          <w:lang w:eastAsia="ko-KR"/>
        </w:rPr>
      </w:pPr>
    </w:p>
    <w:p w14:paraId="41B199D2" w14:textId="77777777" w:rsidR="00F630B3" w:rsidRPr="00F630B3" w:rsidRDefault="00F630B3" w:rsidP="00F630B3">
      <w:pPr>
        <w:spacing w:line="240" w:lineRule="auto"/>
        <w:jc w:val="center"/>
        <w:rPr>
          <w:rFonts w:eastAsia="Malgun Gothic" w:cs="Times New Roman"/>
          <w:szCs w:val="24"/>
          <w:lang w:eastAsia="ko-KR"/>
        </w:rPr>
      </w:pPr>
    </w:p>
    <w:p w14:paraId="5566DD03" w14:textId="095DBC22"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 xml:space="preserve">Submitted to Dr </w:t>
      </w:r>
      <w:r w:rsidR="00A83E6E">
        <w:rPr>
          <w:rFonts w:eastAsia="Malgun Gothic" w:cs="Times New Roman"/>
          <w:szCs w:val="24"/>
          <w:lang w:eastAsia="ko-KR"/>
        </w:rPr>
        <w:t>Mark Avery</w:t>
      </w:r>
    </w:p>
    <w:p w14:paraId="6639A01E" w14:textId="77777777" w:rsidR="00F630B3" w:rsidRPr="00F630B3" w:rsidRDefault="00F630B3" w:rsidP="00F630B3">
      <w:pPr>
        <w:spacing w:line="240" w:lineRule="auto"/>
        <w:jc w:val="center"/>
        <w:rPr>
          <w:rFonts w:eastAsia="Malgun Gothic" w:cs="Times New Roman"/>
          <w:szCs w:val="24"/>
          <w:lang w:eastAsia="ko-KR"/>
        </w:rPr>
      </w:pPr>
    </w:p>
    <w:p w14:paraId="4BC08B8B"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 xml:space="preserve">In partial fulfillment of the requirements for the completion of </w:t>
      </w:r>
    </w:p>
    <w:p w14:paraId="34B63BDF" w14:textId="77777777" w:rsidR="00F630B3" w:rsidRPr="00F630B3" w:rsidRDefault="00F630B3" w:rsidP="00F630B3">
      <w:pPr>
        <w:spacing w:line="240" w:lineRule="auto"/>
        <w:jc w:val="center"/>
        <w:rPr>
          <w:rFonts w:eastAsia="Malgun Gothic" w:cs="Times New Roman"/>
          <w:szCs w:val="24"/>
          <w:lang w:eastAsia="ko-KR"/>
        </w:rPr>
      </w:pPr>
    </w:p>
    <w:p w14:paraId="4E23B4D3" w14:textId="77777777" w:rsidR="00F630B3" w:rsidRPr="00F630B3" w:rsidRDefault="00F630B3" w:rsidP="00F630B3">
      <w:pPr>
        <w:spacing w:line="240" w:lineRule="auto"/>
        <w:jc w:val="center"/>
        <w:rPr>
          <w:rFonts w:eastAsia="Malgun Gothic" w:cs="Times New Roman"/>
          <w:szCs w:val="24"/>
          <w:lang w:eastAsia="ko-KR"/>
        </w:rPr>
      </w:pPr>
    </w:p>
    <w:p w14:paraId="4ADCE230" w14:textId="77777777" w:rsidR="00F630B3" w:rsidRPr="00F630B3" w:rsidRDefault="00F630B3" w:rsidP="00F630B3">
      <w:pPr>
        <w:spacing w:line="240" w:lineRule="auto"/>
        <w:jc w:val="center"/>
        <w:rPr>
          <w:rFonts w:eastAsia="Malgun Gothic" w:cs="Times New Roman"/>
          <w:szCs w:val="24"/>
          <w:lang w:eastAsia="ko-KR"/>
        </w:rPr>
      </w:pPr>
    </w:p>
    <w:p w14:paraId="16DE159F" w14:textId="77777777" w:rsidR="00F630B3" w:rsidRPr="00F630B3" w:rsidRDefault="00F630B3" w:rsidP="00F630B3">
      <w:pPr>
        <w:spacing w:line="240" w:lineRule="auto"/>
        <w:jc w:val="center"/>
        <w:rPr>
          <w:rFonts w:eastAsia="Malgun Gothic" w:cs="Times New Roman"/>
          <w:szCs w:val="24"/>
          <w:lang w:eastAsia="ko-KR"/>
        </w:rPr>
      </w:pPr>
    </w:p>
    <w:p w14:paraId="6F361942" w14:textId="0469FF24" w:rsidR="00A83E6E" w:rsidRPr="00F630B3" w:rsidRDefault="00A83E6E" w:rsidP="00A83E6E">
      <w:pPr>
        <w:spacing w:line="240" w:lineRule="auto"/>
        <w:jc w:val="center"/>
        <w:rPr>
          <w:rFonts w:eastAsia="Malgun Gothic" w:cs="Times New Roman"/>
          <w:szCs w:val="24"/>
          <w:lang w:eastAsia="ko-KR"/>
        </w:rPr>
      </w:pPr>
      <w:r>
        <w:rPr>
          <w:rFonts w:eastAsia="Malgun Gothic" w:cs="Times New Roman"/>
          <w:szCs w:val="24"/>
          <w:lang w:eastAsia="ko-KR"/>
        </w:rPr>
        <w:t>GLST 650</w:t>
      </w:r>
      <w:r w:rsidR="00F630B3" w:rsidRPr="00F630B3">
        <w:rPr>
          <w:rFonts w:eastAsia="Malgun Gothic" w:cs="Times New Roman"/>
          <w:szCs w:val="24"/>
          <w:lang w:eastAsia="ko-KR"/>
        </w:rPr>
        <w:t xml:space="preserve"> – </w:t>
      </w:r>
      <w:r>
        <w:rPr>
          <w:rFonts w:eastAsia="Malgun Gothic" w:cs="Times New Roman"/>
          <w:szCs w:val="24"/>
          <w:lang w:eastAsia="ko-KR"/>
        </w:rPr>
        <w:t>B04</w:t>
      </w:r>
    </w:p>
    <w:p w14:paraId="7741C978" w14:textId="77777777" w:rsidR="00F630B3" w:rsidRPr="00F630B3" w:rsidRDefault="00F630B3" w:rsidP="00F630B3">
      <w:pPr>
        <w:spacing w:line="240" w:lineRule="auto"/>
        <w:jc w:val="center"/>
        <w:rPr>
          <w:rFonts w:eastAsia="Malgun Gothic" w:cs="Times New Roman"/>
          <w:szCs w:val="24"/>
          <w:lang w:eastAsia="ko-KR"/>
        </w:rPr>
      </w:pPr>
    </w:p>
    <w:p w14:paraId="31DAF39C" w14:textId="4AFBC897" w:rsidR="00F630B3" w:rsidRPr="00F630B3" w:rsidRDefault="00A83E6E" w:rsidP="00F630B3">
      <w:pPr>
        <w:spacing w:line="240" w:lineRule="auto"/>
        <w:jc w:val="center"/>
        <w:rPr>
          <w:rFonts w:eastAsia="Malgun Gothic" w:cs="Times New Roman"/>
          <w:szCs w:val="24"/>
          <w:lang w:eastAsia="ko-KR"/>
        </w:rPr>
      </w:pPr>
      <w:r>
        <w:rPr>
          <w:rFonts w:eastAsia="Malgun Gothic" w:cs="Times New Roman"/>
          <w:szCs w:val="24"/>
          <w:lang w:eastAsia="ko-KR"/>
        </w:rPr>
        <w:t>Intercultural Communication</w:t>
      </w:r>
    </w:p>
    <w:p w14:paraId="37C07A9E" w14:textId="77777777" w:rsidR="00F630B3" w:rsidRPr="00F630B3" w:rsidRDefault="00F630B3" w:rsidP="00F630B3">
      <w:pPr>
        <w:spacing w:line="240" w:lineRule="auto"/>
        <w:rPr>
          <w:rFonts w:eastAsia="Malgun Gothic" w:cs="Times New Roman"/>
          <w:szCs w:val="24"/>
          <w:lang w:eastAsia="ko-KR"/>
        </w:rPr>
      </w:pPr>
    </w:p>
    <w:p w14:paraId="6E2CDC28" w14:textId="77777777" w:rsidR="00F630B3" w:rsidRPr="00F630B3" w:rsidRDefault="00F630B3" w:rsidP="00F630B3">
      <w:pPr>
        <w:spacing w:line="240" w:lineRule="auto"/>
        <w:jc w:val="center"/>
        <w:rPr>
          <w:rFonts w:eastAsia="Malgun Gothic" w:cs="Times New Roman"/>
          <w:szCs w:val="24"/>
          <w:lang w:eastAsia="ko-KR"/>
        </w:rPr>
      </w:pPr>
    </w:p>
    <w:p w14:paraId="4A06E5CA" w14:textId="77777777" w:rsidR="00F630B3" w:rsidRPr="00F630B3" w:rsidRDefault="00F630B3" w:rsidP="00F630B3">
      <w:pPr>
        <w:spacing w:line="240" w:lineRule="auto"/>
        <w:jc w:val="center"/>
        <w:rPr>
          <w:rFonts w:eastAsia="Malgun Gothic" w:cs="Times New Roman"/>
          <w:szCs w:val="24"/>
          <w:lang w:eastAsia="ko-KR"/>
        </w:rPr>
      </w:pPr>
    </w:p>
    <w:p w14:paraId="05AA4895" w14:textId="77777777" w:rsidR="00F630B3" w:rsidRPr="00F630B3" w:rsidRDefault="00F630B3" w:rsidP="00F630B3">
      <w:pPr>
        <w:spacing w:line="240" w:lineRule="auto"/>
        <w:jc w:val="center"/>
        <w:rPr>
          <w:rFonts w:eastAsia="Malgun Gothic" w:cs="Times New Roman"/>
          <w:szCs w:val="24"/>
          <w:lang w:eastAsia="ko-KR"/>
        </w:rPr>
      </w:pPr>
    </w:p>
    <w:p w14:paraId="70AF3991" w14:textId="77777777" w:rsidR="00F630B3" w:rsidRPr="00F630B3" w:rsidRDefault="00F630B3" w:rsidP="00F630B3">
      <w:pPr>
        <w:spacing w:line="240" w:lineRule="auto"/>
        <w:jc w:val="center"/>
        <w:rPr>
          <w:rFonts w:eastAsia="Malgun Gothic" w:cs="Times New Roman"/>
          <w:szCs w:val="24"/>
          <w:lang w:eastAsia="ko-KR"/>
        </w:rPr>
      </w:pPr>
    </w:p>
    <w:p w14:paraId="0D406DC9"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by</w:t>
      </w:r>
    </w:p>
    <w:p w14:paraId="7BC0601A" w14:textId="77777777" w:rsidR="00F630B3" w:rsidRPr="00F630B3" w:rsidRDefault="00F630B3" w:rsidP="00F630B3">
      <w:pPr>
        <w:spacing w:line="240" w:lineRule="auto"/>
        <w:jc w:val="center"/>
        <w:rPr>
          <w:rFonts w:eastAsia="Malgun Gothic" w:cs="Times New Roman"/>
          <w:szCs w:val="24"/>
          <w:lang w:eastAsia="ko-KR"/>
        </w:rPr>
      </w:pPr>
    </w:p>
    <w:p w14:paraId="1E33CC78"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Kingsley O. Nyakagwa</w:t>
      </w:r>
    </w:p>
    <w:p w14:paraId="4437D75C" w14:textId="77777777" w:rsidR="00F630B3" w:rsidRPr="00F630B3" w:rsidRDefault="00F630B3" w:rsidP="00F630B3">
      <w:pPr>
        <w:spacing w:line="240" w:lineRule="auto"/>
        <w:jc w:val="center"/>
        <w:rPr>
          <w:rFonts w:eastAsia="Malgun Gothic" w:cs="Times New Roman"/>
          <w:szCs w:val="24"/>
          <w:lang w:eastAsia="ko-KR"/>
        </w:rPr>
      </w:pPr>
    </w:p>
    <w:p w14:paraId="2D4DAE01" w14:textId="1CA9F1CD" w:rsidR="00F630B3" w:rsidRPr="00F630B3" w:rsidRDefault="00A83E6E" w:rsidP="00F630B3">
      <w:pPr>
        <w:spacing w:line="240" w:lineRule="auto"/>
        <w:jc w:val="center"/>
        <w:rPr>
          <w:rFonts w:eastAsia="Malgun Gothic" w:cs="Times New Roman"/>
          <w:szCs w:val="24"/>
          <w:lang w:eastAsia="ko-KR"/>
        </w:rPr>
      </w:pPr>
      <w:r>
        <w:rPr>
          <w:rFonts w:eastAsia="Malgun Gothic" w:cs="Times New Roman"/>
          <w:szCs w:val="24"/>
          <w:lang w:eastAsia="ko-KR"/>
        </w:rPr>
        <w:t xml:space="preserve">May </w:t>
      </w:r>
      <w:r w:rsidR="00521C48">
        <w:rPr>
          <w:rFonts w:eastAsia="Malgun Gothic" w:cs="Times New Roman"/>
          <w:szCs w:val="24"/>
          <w:lang w:eastAsia="ko-KR"/>
        </w:rPr>
        <w:t>30</w:t>
      </w:r>
      <w:r w:rsidR="00F630B3" w:rsidRPr="00F630B3">
        <w:rPr>
          <w:rFonts w:eastAsia="Malgun Gothic" w:cs="Times New Roman"/>
          <w:szCs w:val="24"/>
          <w:lang w:eastAsia="ko-KR"/>
        </w:rPr>
        <w:t>, 2021</w:t>
      </w:r>
    </w:p>
    <w:bookmarkEnd w:id="0"/>
    <w:bookmarkEnd w:id="1"/>
    <w:bookmarkEnd w:id="2"/>
    <w:bookmarkEnd w:id="3"/>
    <w:bookmarkEnd w:id="4"/>
    <w:bookmarkEnd w:id="5"/>
    <w:bookmarkEnd w:id="6"/>
    <w:bookmarkEnd w:id="7"/>
    <w:bookmarkEnd w:id="8"/>
    <w:bookmarkEnd w:id="9"/>
    <w:p w14:paraId="077F3532" w14:textId="7D570898" w:rsidR="00DF7AA0" w:rsidRPr="002B71D6" w:rsidRDefault="00DF7AA0" w:rsidP="00820E36">
      <w:pPr>
        <w:pStyle w:val="Heading1"/>
        <w:jc w:val="left"/>
        <w:sectPr w:rsidR="00DF7AA0" w:rsidRPr="002B71D6"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088010EB" w14:textId="3303A452" w:rsidR="009627FA" w:rsidRDefault="009627FA" w:rsidP="009627FA">
      <w:pPr>
        <w:pStyle w:val="NormalWeb"/>
        <w:spacing w:before="0" w:beforeAutospacing="0" w:after="0" w:afterAutospacing="0" w:line="480" w:lineRule="auto"/>
        <w:ind w:firstLine="720"/>
        <w:rPr>
          <w:color w:val="0E101A"/>
        </w:rPr>
      </w:pPr>
      <w:bookmarkStart w:id="10" w:name="_Hlk72711451"/>
      <w:r>
        <w:rPr>
          <w:color w:val="0E101A"/>
        </w:rPr>
        <w:lastRenderedPageBreak/>
        <w:t>Reading the Bible in a multicultural setting is not an easy task. Many scholars agree that it is as challenging as learning a new culture altogether. Not only does it expose a person to other people’s cultural and theological assumptions, but it also exposes them to their own. In </w:t>
      </w:r>
      <w:r>
        <w:rPr>
          <w:rStyle w:val="Emphasis"/>
          <w:color w:val="0E101A"/>
        </w:rPr>
        <w:t>Reading Scripture for Good News That Crosses Barriers of Race/Ethnicity, Class and Culture, </w:t>
      </w:r>
      <w:r>
        <w:rPr>
          <w:color w:val="0E101A"/>
        </w:rPr>
        <w:t>Bob Ekblad offers Christians a vital lesson of the most common pitfalls to individual and group discovery of good news in Scripture and presents effective pedagogies and communication strategies to facilitate transformational encounters with God in diverse settings.</w:t>
      </w:r>
      <w:r>
        <w:rPr>
          <w:rStyle w:val="FootnoteReference"/>
        </w:rPr>
        <w:footnoteReference w:id="1"/>
      </w:r>
      <w:r>
        <w:rPr>
          <w:color w:val="0E101A"/>
        </w:rPr>
        <w:t> One of Ekblad’s claims is that when we deliberately read scripture with people from diverse backgrounds who would not normally gather together, reconciliation, unity, joint mission, and spiritual renewal can result-transforming individuals, faith communities, and society itself.</w:t>
      </w:r>
      <w:r w:rsidRPr="009627FA">
        <w:rPr>
          <w:rStyle w:val="FootnoteReference"/>
        </w:rPr>
        <w:t xml:space="preserve"> </w:t>
      </w:r>
      <w:r>
        <w:rPr>
          <w:rStyle w:val="FootnoteReference"/>
        </w:rPr>
        <w:footnoteReference w:id="2"/>
      </w:r>
    </w:p>
    <w:p w14:paraId="3415B1A2" w14:textId="651E9347" w:rsidR="009627FA" w:rsidRDefault="009627FA" w:rsidP="009627FA">
      <w:pPr>
        <w:pStyle w:val="NormalWeb"/>
        <w:spacing w:before="0" w:beforeAutospacing="0" w:after="0" w:afterAutospacing="0" w:line="480" w:lineRule="auto"/>
        <w:ind w:firstLine="720"/>
        <w:rPr>
          <w:color w:val="0E101A"/>
        </w:rPr>
      </w:pPr>
      <w:r>
        <w:rPr>
          <w:color w:val="0E101A"/>
        </w:rPr>
        <w:t xml:space="preserve">Looking at Ekblad’s article, it is obvious that he has demonstrated great mastery of the subject. Ekblad first points out how race, language, and cultural barriers pose a challenge to many Christians as they try to have a dialogue with other people. Second, he says, </w:t>
      </w:r>
      <w:r w:rsidR="0004240C">
        <w:rPr>
          <w:color w:val="0E101A"/>
        </w:rPr>
        <w:t>“</w:t>
      </w:r>
      <w:r>
        <w:rPr>
          <w:color w:val="0E101A"/>
        </w:rPr>
        <w:t>If missional engagement is to go beyond direct service, social justice, legal advocacy, or solidarity to include proclamation, leading Bible studies, or teaching, ministries need approaches to the Bible that are both accessible and offer concrete relief from immediate troubles.”</w:t>
      </w:r>
      <w:r w:rsidRPr="009627FA">
        <w:rPr>
          <w:rStyle w:val="FootnoteReference"/>
        </w:rPr>
        <w:t xml:space="preserve"> </w:t>
      </w:r>
      <w:r>
        <w:rPr>
          <w:rStyle w:val="FootnoteReference"/>
        </w:rPr>
        <w:footnoteReference w:id="3"/>
      </w:r>
      <w:r>
        <w:rPr>
          <w:color w:val="0E101A"/>
        </w:rPr>
        <w:t xml:space="preserve"> Ekblad further claims that for Christians to get better at sharing their faith, then they first must be aware of their own culture, race, class, and theological assumptions. Identifying these assumptions presents an opportunity for a person to reduce their influences and give priority to the gospel message. Also, Ekblad notes, “Careful listening to people and comparison with the text will also help us discern </w:t>
      </w:r>
      <w:r>
        <w:rPr>
          <w:color w:val="0E101A"/>
        </w:rPr>
        <w:lastRenderedPageBreak/>
        <w:t>the negative images of God that may underlie people’s interpretation of what the text seems to say in its own right.”</w:t>
      </w:r>
      <w:r w:rsidRPr="009627FA">
        <w:rPr>
          <w:rStyle w:val="FootnoteReference"/>
        </w:rPr>
        <w:t xml:space="preserve"> </w:t>
      </w:r>
      <w:r>
        <w:rPr>
          <w:rStyle w:val="FootnoteReference"/>
        </w:rPr>
        <w:footnoteReference w:id="4"/>
      </w:r>
    </w:p>
    <w:p w14:paraId="3F4C5869" w14:textId="14D89374" w:rsidR="009627FA" w:rsidRDefault="009627FA" w:rsidP="009627FA">
      <w:pPr>
        <w:pStyle w:val="NormalWeb"/>
        <w:spacing w:before="0" w:beforeAutospacing="0" w:after="0" w:afterAutospacing="0" w:line="480" w:lineRule="auto"/>
        <w:ind w:firstLine="720"/>
        <w:rPr>
          <w:color w:val="0E101A"/>
        </w:rPr>
      </w:pPr>
      <w:r>
        <w:rPr>
          <w:color w:val="0E101A"/>
        </w:rPr>
        <w:t>Ekblad also warns readers of three pitfalls of hearing the good news. The first he calls domestication of God. he argues that this is one of the most destructive pitfalls as it tempts people to look for evidence in the Bible that supports their ideas instead of letting the Bible speak for itself. Secondly, Ekblad mentions moralism as another pitfall. Regarding moralism, he says that people tend to unconsciously or consciously want to know what God says because they want to earn his favor. Finally, he mentions heroism. Heroism, just like moralism tends to make an individual be a perfectionist. The only difference is that heroism makes believers attempt to emulate their heroes but leaves them oblivious to th</w:t>
      </w:r>
      <w:r w:rsidR="0004240C">
        <w:rPr>
          <w:color w:val="0E101A"/>
        </w:rPr>
        <w:t>e heroes’</w:t>
      </w:r>
      <w:r>
        <w:rPr>
          <w:color w:val="0E101A"/>
        </w:rPr>
        <w:t xml:space="preserve"> weaknesses.</w:t>
      </w:r>
      <w:r w:rsidRPr="009627FA">
        <w:rPr>
          <w:rStyle w:val="FootnoteReference"/>
        </w:rPr>
        <w:t xml:space="preserve"> </w:t>
      </w:r>
      <w:r>
        <w:rPr>
          <w:rStyle w:val="FootnoteReference"/>
        </w:rPr>
        <w:footnoteReference w:id="5"/>
      </w:r>
    </w:p>
    <w:p w14:paraId="6EE895B3" w14:textId="269B2D70" w:rsidR="009627FA" w:rsidRDefault="0004240C" w:rsidP="009627FA">
      <w:pPr>
        <w:pStyle w:val="NormalWeb"/>
        <w:spacing w:before="0" w:beforeAutospacing="0" w:after="0" w:afterAutospacing="0" w:line="480" w:lineRule="auto"/>
        <w:ind w:firstLine="720"/>
        <w:rPr>
          <w:color w:val="0E101A"/>
        </w:rPr>
      </w:pPr>
      <w:r>
        <w:rPr>
          <w:color w:val="0E101A"/>
        </w:rPr>
        <w:t>Regarding criticism,</w:t>
      </w:r>
      <w:r w:rsidR="009627FA">
        <w:rPr>
          <w:color w:val="0E101A"/>
        </w:rPr>
        <w:t xml:space="preserve"> it is my opinion that Ekblad should have included the definition of some of the key terms he mentions. For instance, it would have been of great service if he defined culture. Otherwise, people might assume culture stands for different nationalities. Second, though Ekblad does a great job in identifying the pitfalls and assumptions that impede sharing the gospel effectively, he does not have a concise and clear thesis statement. If he does, it is not well placed at the top.</w:t>
      </w:r>
    </w:p>
    <w:p w14:paraId="6BC3E0E5" w14:textId="067EB69E" w:rsidR="009627FA" w:rsidRDefault="009627FA" w:rsidP="009627FA">
      <w:pPr>
        <w:pStyle w:val="NormalWeb"/>
        <w:spacing w:before="0" w:beforeAutospacing="0" w:after="0" w:afterAutospacing="0" w:line="480" w:lineRule="auto"/>
        <w:ind w:firstLine="720"/>
        <w:rPr>
          <w:color w:val="0E101A"/>
        </w:rPr>
      </w:pPr>
      <w:r>
        <w:rPr>
          <w:color w:val="0E101A"/>
        </w:rPr>
        <w:t>In closing, Bob Ekblad has done a commendable job not only of informing the reader on how to identify and become aware of racial, class, cultural, and theological assumptions, but also practically demonstrat</w:t>
      </w:r>
      <w:r w:rsidR="0004240C">
        <w:rPr>
          <w:color w:val="0E101A"/>
        </w:rPr>
        <w:t>ed</w:t>
      </w:r>
      <w:r>
        <w:rPr>
          <w:color w:val="0E101A"/>
        </w:rPr>
        <w:t xml:space="preserve"> how to do so. The Bible study process he outlines of John 8:1-11 is a fine example. Besides, Bob Ekblad warns the reader of the common pitfalls of hearing good news and provides a strategy on how to move beyond them.</w:t>
      </w:r>
    </w:p>
    <w:p w14:paraId="389F03E4" w14:textId="7BFD4465" w:rsidR="00820E36" w:rsidRDefault="00820E36" w:rsidP="009627FA">
      <w:pPr>
        <w:ind w:firstLine="720"/>
      </w:pPr>
    </w:p>
    <w:bookmarkEnd w:id="10"/>
    <w:p w14:paraId="59F3E8D4" w14:textId="1CF31C06" w:rsidR="005A2C1D" w:rsidRPr="005A2C1D" w:rsidRDefault="005A2C1D" w:rsidP="00674BC3">
      <w:pPr>
        <w:jc w:val="center"/>
        <w:rPr>
          <w:b/>
          <w:bCs/>
        </w:rPr>
      </w:pPr>
      <w:r w:rsidRPr="005A2C1D">
        <w:rPr>
          <w:b/>
          <w:bCs/>
        </w:rPr>
        <w:t>Bibliography</w:t>
      </w:r>
    </w:p>
    <w:p w14:paraId="3184FAC7" w14:textId="55956E79" w:rsidR="005A2C1D" w:rsidRPr="00F630B3" w:rsidRDefault="005A2C1D" w:rsidP="005A2C1D">
      <w:pPr>
        <w:spacing w:line="240" w:lineRule="auto"/>
        <w:ind w:left="720" w:hanging="720"/>
        <w:rPr>
          <w:rFonts w:eastAsia="Malgun Gothic" w:cs="Times New Roman"/>
          <w:szCs w:val="24"/>
          <w:lang w:eastAsia="ko-KR"/>
        </w:rPr>
      </w:pPr>
      <w:r>
        <w:rPr>
          <w:rFonts w:eastAsia="Malgun Gothic" w:cs="Times New Roman"/>
          <w:szCs w:val="24"/>
          <w:lang w:eastAsia="ko-KR"/>
        </w:rPr>
        <w:t>Ekblad</w:t>
      </w:r>
      <w:r w:rsidRPr="00F630B3">
        <w:rPr>
          <w:rFonts w:eastAsia="Malgun Gothic" w:cs="Times New Roman"/>
          <w:szCs w:val="24"/>
          <w:lang w:eastAsia="ko-KR"/>
        </w:rPr>
        <w:t xml:space="preserve">, </w:t>
      </w:r>
      <w:r>
        <w:rPr>
          <w:rFonts w:eastAsia="Malgun Gothic" w:cs="Times New Roman"/>
          <w:szCs w:val="24"/>
          <w:lang w:eastAsia="ko-KR"/>
        </w:rPr>
        <w:t>Bob</w:t>
      </w:r>
      <w:r w:rsidRPr="00F630B3">
        <w:rPr>
          <w:rFonts w:eastAsia="Malgun Gothic" w:cs="Times New Roman"/>
          <w:szCs w:val="24"/>
          <w:lang w:eastAsia="ko-KR"/>
        </w:rPr>
        <w:t>. “</w:t>
      </w:r>
      <w:r>
        <w:rPr>
          <w:rFonts w:eastAsia="Malgun Gothic" w:cs="Times New Roman"/>
          <w:szCs w:val="24"/>
          <w:lang w:eastAsia="ko-KR"/>
        </w:rPr>
        <w:t xml:space="preserve">Reading Scripture for Good News That Crosses Barriers of Race/Ethnicity, Classand Culture,” </w:t>
      </w:r>
      <w:r w:rsidRPr="00A83E6E">
        <w:rPr>
          <w:rFonts w:eastAsia="Malgun Gothic" w:cs="Times New Roman"/>
          <w:i/>
          <w:iCs/>
          <w:szCs w:val="24"/>
          <w:lang w:eastAsia="ko-KR"/>
        </w:rPr>
        <w:t>Interpretation</w:t>
      </w:r>
      <w:r>
        <w:rPr>
          <w:rFonts w:eastAsia="Malgun Gothic" w:cs="Times New Roman"/>
          <w:szCs w:val="24"/>
          <w:lang w:eastAsia="ko-KR"/>
        </w:rPr>
        <w:t xml:space="preserve"> 65, no. 3 </w:t>
      </w:r>
      <w:r w:rsidRPr="00F630B3">
        <w:rPr>
          <w:rFonts w:eastAsia="Malgun Gothic" w:cs="Times New Roman"/>
          <w:szCs w:val="24"/>
          <w:lang w:eastAsia="ko-KR"/>
        </w:rPr>
        <w:t>(</w:t>
      </w:r>
      <w:r>
        <w:rPr>
          <w:rFonts w:eastAsia="Malgun Gothic" w:cs="Times New Roman"/>
          <w:szCs w:val="24"/>
          <w:lang w:eastAsia="ko-KR"/>
        </w:rPr>
        <w:t>July 2011)</w:t>
      </w:r>
      <w:r w:rsidRPr="00F630B3">
        <w:rPr>
          <w:rFonts w:eastAsia="Malgun Gothic" w:cs="Times New Roman"/>
          <w:szCs w:val="24"/>
          <w:lang w:eastAsia="ko-KR"/>
        </w:rPr>
        <w:t xml:space="preserve">: </w:t>
      </w:r>
      <w:r>
        <w:rPr>
          <w:rFonts w:eastAsia="Malgun Gothic" w:cs="Times New Roman"/>
          <w:szCs w:val="24"/>
          <w:lang w:eastAsia="ko-KR"/>
        </w:rPr>
        <w:t>229-248.</w:t>
      </w:r>
    </w:p>
    <w:p w14:paraId="3586D877" w14:textId="77777777" w:rsidR="005A2C1D" w:rsidRPr="002B71D6" w:rsidRDefault="005A2C1D" w:rsidP="005A2C1D">
      <w:pPr>
        <w:ind w:firstLine="720"/>
      </w:pPr>
    </w:p>
    <w:sectPr w:rsidR="005A2C1D" w:rsidRPr="002B71D6"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84E09" w14:textId="77777777" w:rsidR="004013FB" w:rsidRDefault="004013FB" w:rsidP="00DF7AA0">
      <w:pPr>
        <w:spacing w:line="240" w:lineRule="auto"/>
      </w:pPr>
      <w:r>
        <w:separator/>
      </w:r>
    </w:p>
  </w:endnote>
  <w:endnote w:type="continuationSeparator" w:id="0">
    <w:p w14:paraId="1326ADE4" w14:textId="77777777" w:rsidR="004013FB" w:rsidRDefault="004013FB"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4013FB"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A079D" w14:textId="77777777" w:rsidR="004013FB" w:rsidRDefault="004013FB" w:rsidP="00DF7AA0">
      <w:pPr>
        <w:spacing w:line="240" w:lineRule="auto"/>
      </w:pPr>
      <w:r>
        <w:separator/>
      </w:r>
    </w:p>
  </w:footnote>
  <w:footnote w:type="continuationSeparator" w:id="0">
    <w:p w14:paraId="527E31F4" w14:textId="77777777" w:rsidR="004013FB" w:rsidRDefault="004013FB" w:rsidP="00DF7AA0">
      <w:pPr>
        <w:spacing w:line="240" w:lineRule="auto"/>
      </w:pPr>
      <w:r>
        <w:continuationSeparator/>
      </w:r>
    </w:p>
  </w:footnote>
  <w:footnote w:id="1">
    <w:p w14:paraId="068EDF63" w14:textId="77777777" w:rsidR="009627FA" w:rsidRDefault="009627FA" w:rsidP="009627FA">
      <w:pPr>
        <w:pStyle w:val="FootnoteText"/>
      </w:pPr>
      <w:r>
        <w:rPr>
          <w:rStyle w:val="FootnoteReference"/>
        </w:rPr>
        <w:footnoteRef/>
      </w:r>
      <w:r>
        <w:t xml:space="preserve"> </w:t>
      </w:r>
      <w:r>
        <w:rPr>
          <w:rFonts w:eastAsia="Malgun Gothic" w:cs="Times New Roman"/>
          <w:szCs w:val="24"/>
          <w:lang w:eastAsia="ko-KR"/>
        </w:rPr>
        <w:t>Bob Ekblad</w:t>
      </w:r>
      <w:r w:rsidRPr="00F630B3">
        <w:rPr>
          <w:rFonts w:eastAsia="Malgun Gothic" w:cs="Times New Roman"/>
          <w:szCs w:val="24"/>
          <w:lang w:eastAsia="ko-KR"/>
        </w:rPr>
        <w:t>, “</w:t>
      </w:r>
      <w:r>
        <w:rPr>
          <w:rFonts w:eastAsia="Malgun Gothic" w:cs="Times New Roman"/>
          <w:szCs w:val="24"/>
          <w:lang w:eastAsia="ko-KR"/>
        </w:rPr>
        <w:t xml:space="preserve">Reading Scripture for Good News That Crosses Barriers of Race/Ethnicity, Class and Culture,” </w:t>
      </w:r>
      <w:r w:rsidRPr="00A83E6E">
        <w:rPr>
          <w:rFonts w:eastAsia="Malgun Gothic" w:cs="Times New Roman"/>
          <w:i/>
          <w:iCs/>
          <w:szCs w:val="24"/>
          <w:lang w:eastAsia="ko-KR"/>
        </w:rPr>
        <w:t>Interpretation</w:t>
      </w:r>
      <w:r>
        <w:rPr>
          <w:rFonts w:eastAsia="Malgun Gothic" w:cs="Times New Roman"/>
          <w:szCs w:val="24"/>
          <w:lang w:eastAsia="ko-KR"/>
        </w:rPr>
        <w:t xml:space="preserve"> 65, no. 3 </w:t>
      </w:r>
      <w:r w:rsidRPr="00F630B3">
        <w:rPr>
          <w:rFonts w:eastAsia="Malgun Gothic" w:cs="Times New Roman"/>
          <w:szCs w:val="24"/>
          <w:lang w:eastAsia="ko-KR"/>
        </w:rPr>
        <w:t>(</w:t>
      </w:r>
      <w:r>
        <w:rPr>
          <w:rFonts w:eastAsia="Malgun Gothic" w:cs="Times New Roman"/>
          <w:szCs w:val="24"/>
          <w:lang w:eastAsia="ko-KR"/>
        </w:rPr>
        <w:t>July 2011)</w:t>
      </w:r>
      <w:r w:rsidRPr="00F630B3">
        <w:rPr>
          <w:rFonts w:eastAsia="Malgun Gothic" w:cs="Times New Roman"/>
          <w:szCs w:val="24"/>
          <w:lang w:eastAsia="ko-KR"/>
        </w:rPr>
        <w:t xml:space="preserve">: </w:t>
      </w:r>
      <w:r>
        <w:rPr>
          <w:rFonts w:eastAsia="Malgun Gothic" w:cs="Times New Roman"/>
          <w:szCs w:val="24"/>
          <w:lang w:eastAsia="ko-KR"/>
        </w:rPr>
        <w:t>229.</w:t>
      </w:r>
    </w:p>
  </w:footnote>
  <w:footnote w:id="2">
    <w:p w14:paraId="71FACF63" w14:textId="77777777" w:rsidR="009627FA" w:rsidRPr="00F630B3" w:rsidRDefault="009627FA" w:rsidP="009627FA">
      <w:pPr>
        <w:spacing w:line="240" w:lineRule="auto"/>
        <w:ind w:firstLine="720"/>
        <w:rPr>
          <w:rFonts w:eastAsia="Malgun Gothic" w:cs="Times New Roman"/>
          <w:szCs w:val="24"/>
          <w:lang w:eastAsia="ko-KR"/>
        </w:rPr>
      </w:pPr>
      <w:r>
        <w:rPr>
          <w:rStyle w:val="FootnoteReference"/>
        </w:rPr>
        <w:footnoteRef/>
      </w:r>
      <w:r>
        <w:t xml:space="preserve"> Ibid., 229</w:t>
      </w:r>
    </w:p>
    <w:p w14:paraId="3DF30AAB" w14:textId="77777777" w:rsidR="009627FA" w:rsidRDefault="009627FA" w:rsidP="009627FA">
      <w:pPr>
        <w:pStyle w:val="FootnoteText"/>
      </w:pPr>
    </w:p>
  </w:footnote>
  <w:footnote w:id="3">
    <w:p w14:paraId="00CFEA20" w14:textId="77777777" w:rsidR="009627FA" w:rsidRDefault="009627FA" w:rsidP="009627FA">
      <w:pPr>
        <w:pStyle w:val="FootnoteText"/>
      </w:pPr>
      <w:r>
        <w:rPr>
          <w:rStyle w:val="FootnoteReference"/>
        </w:rPr>
        <w:footnoteRef/>
      </w:r>
      <w:r>
        <w:t xml:space="preserve"> Ibid., 229.</w:t>
      </w:r>
    </w:p>
  </w:footnote>
  <w:footnote w:id="4">
    <w:p w14:paraId="060A0543" w14:textId="77777777" w:rsidR="009627FA" w:rsidRDefault="009627FA" w:rsidP="009627FA">
      <w:pPr>
        <w:pStyle w:val="FootnoteText"/>
      </w:pPr>
      <w:r>
        <w:rPr>
          <w:rStyle w:val="FootnoteReference"/>
        </w:rPr>
        <w:footnoteRef/>
      </w:r>
      <w:r>
        <w:t xml:space="preserve"> Ibid., 231.</w:t>
      </w:r>
    </w:p>
  </w:footnote>
  <w:footnote w:id="5">
    <w:p w14:paraId="3867DD16" w14:textId="77777777" w:rsidR="009627FA" w:rsidRDefault="009627FA" w:rsidP="009627FA">
      <w:pPr>
        <w:pStyle w:val="FootnoteText"/>
      </w:pPr>
      <w:r>
        <w:rPr>
          <w:rStyle w:val="FootnoteReference"/>
        </w:rPr>
        <w:footnoteRef/>
      </w:r>
      <w:r>
        <w:t xml:space="preserve"> Ibid., 233.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4240C"/>
    <w:rsid w:val="000616B7"/>
    <w:rsid w:val="000E6190"/>
    <w:rsid w:val="000F2E47"/>
    <w:rsid w:val="00106286"/>
    <w:rsid w:val="00114B0E"/>
    <w:rsid w:val="00134BCC"/>
    <w:rsid w:val="001517D4"/>
    <w:rsid w:val="00174C31"/>
    <w:rsid w:val="001918B7"/>
    <w:rsid w:val="001D2D8C"/>
    <w:rsid w:val="001E6C0A"/>
    <w:rsid w:val="002555F0"/>
    <w:rsid w:val="002A6EBA"/>
    <w:rsid w:val="002B71D6"/>
    <w:rsid w:val="002B7C8F"/>
    <w:rsid w:val="002F6165"/>
    <w:rsid w:val="0030455F"/>
    <w:rsid w:val="003134DA"/>
    <w:rsid w:val="0037185F"/>
    <w:rsid w:val="00397061"/>
    <w:rsid w:val="003E7560"/>
    <w:rsid w:val="003F6E92"/>
    <w:rsid w:val="004013FB"/>
    <w:rsid w:val="00404BF1"/>
    <w:rsid w:val="00432FB1"/>
    <w:rsid w:val="004D0324"/>
    <w:rsid w:val="00521C48"/>
    <w:rsid w:val="005449C8"/>
    <w:rsid w:val="0056155C"/>
    <w:rsid w:val="005A2C1D"/>
    <w:rsid w:val="005E7F5F"/>
    <w:rsid w:val="00674BC3"/>
    <w:rsid w:val="00684DC2"/>
    <w:rsid w:val="00690AD8"/>
    <w:rsid w:val="007104C1"/>
    <w:rsid w:val="00765504"/>
    <w:rsid w:val="007E71EC"/>
    <w:rsid w:val="00805553"/>
    <w:rsid w:val="00820E36"/>
    <w:rsid w:val="00823597"/>
    <w:rsid w:val="00861DD8"/>
    <w:rsid w:val="008801BF"/>
    <w:rsid w:val="00890311"/>
    <w:rsid w:val="009131E7"/>
    <w:rsid w:val="00934FC4"/>
    <w:rsid w:val="009627FA"/>
    <w:rsid w:val="009C136E"/>
    <w:rsid w:val="009E46B4"/>
    <w:rsid w:val="00A07CBC"/>
    <w:rsid w:val="00A36B5C"/>
    <w:rsid w:val="00A43B4D"/>
    <w:rsid w:val="00A70889"/>
    <w:rsid w:val="00A752F0"/>
    <w:rsid w:val="00A82676"/>
    <w:rsid w:val="00A83E6E"/>
    <w:rsid w:val="00AB4996"/>
    <w:rsid w:val="00AC0CC1"/>
    <w:rsid w:val="00AE1A54"/>
    <w:rsid w:val="00AE1E2E"/>
    <w:rsid w:val="00AF315F"/>
    <w:rsid w:val="00AF3CDD"/>
    <w:rsid w:val="00B334E6"/>
    <w:rsid w:val="00B34C91"/>
    <w:rsid w:val="00BB06A1"/>
    <w:rsid w:val="00BF09C1"/>
    <w:rsid w:val="00BF7136"/>
    <w:rsid w:val="00C05F96"/>
    <w:rsid w:val="00C6173E"/>
    <w:rsid w:val="00C75AB6"/>
    <w:rsid w:val="00CE19FA"/>
    <w:rsid w:val="00CE489C"/>
    <w:rsid w:val="00D072C2"/>
    <w:rsid w:val="00DB45AF"/>
    <w:rsid w:val="00DF7AA0"/>
    <w:rsid w:val="00E33F9B"/>
    <w:rsid w:val="00E54021"/>
    <w:rsid w:val="00E6776E"/>
    <w:rsid w:val="00ED04CE"/>
    <w:rsid w:val="00ED27B4"/>
    <w:rsid w:val="00F228DC"/>
    <w:rsid w:val="00F630B3"/>
    <w:rsid w:val="00F94E20"/>
    <w:rsid w:val="00FB6365"/>
    <w:rsid w:val="00FD1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ED04CE"/>
    <w:pPr>
      <w:keepNext/>
      <w:keepLines/>
      <w:jc w:val="center"/>
      <w:outlineLvl w:val="0"/>
    </w:pPr>
    <w:rPr>
      <w:rFonts w:eastAsiaTheme="majorEastAsia" w:cstheme="majorBidi"/>
      <w:bCs/>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4CE"/>
    <w:rPr>
      <w:rFonts w:ascii="Times New Roman" w:eastAsiaTheme="majorEastAsia" w:hAnsi="Times New Roman" w:cstheme="majorBidi"/>
      <w:bCs/>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168848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4</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2021-05-23T20:50:00Z</dcterms:created>
  <dcterms:modified xsi:type="dcterms:W3CDTF">2021-05-29T19:08:00Z</dcterms:modified>
</cp:coreProperties>
</file>