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3D68C" w14:textId="6943FC66" w:rsidR="00F413FC" w:rsidRDefault="00F413FC" w:rsidP="00F413FC">
      <w:pPr>
        <w:pStyle w:val="NormalWeb"/>
        <w:spacing w:before="0" w:beforeAutospacing="0" w:after="240" w:afterAutospacing="0"/>
        <w:rPr>
          <w:color w:val="0E101A"/>
        </w:rPr>
      </w:pPr>
      <w:r>
        <w:rPr>
          <w:color w:val="0E101A"/>
        </w:rPr>
        <w:t xml:space="preserve">Joseph </w:t>
      </w:r>
      <w:proofErr w:type="spellStart"/>
      <w:r>
        <w:rPr>
          <w:color w:val="0E101A"/>
        </w:rPr>
        <w:t>Youance</w:t>
      </w:r>
      <w:proofErr w:type="spellEnd"/>
      <w:r>
        <w:rPr>
          <w:color w:val="0E101A"/>
        </w:rPr>
        <w:t>, I enjoyed reading your post. Thank you so much for sharing a piece of yourself. Like you, I have a contrary opinion to David Livermore’s assertion. The assertion that “national culture is the cultural orientation that most significantly shapes how most people think and behave” is entirely not true.</w:t>
      </w:r>
      <w:r w:rsidRPr="00F413FC">
        <w:rPr>
          <w:rStyle w:val="FootnoteReference"/>
          <w:color w:val="222222"/>
          <w:shd w:val="clear" w:color="auto" w:fill="FFFFFF"/>
        </w:rPr>
        <w:t xml:space="preserve"> </w:t>
      </w:r>
      <w:r w:rsidRPr="006B1BEE">
        <w:rPr>
          <w:rStyle w:val="FootnoteReference"/>
          <w:color w:val="222222"/>
          <w:shd w:val="clear" w:color="auto" w:fill="FFFFFF"/>
        </w:rPr>
        <w:footnoteReference w:id="1"/>
      </w:r>
      <w:r>
        <w:rPr>
          <w:color w:val="0E101A"/>
        </w:rPr>
        <w:t> To add to what you said, I think he should define what national culture is. Though it is not my intent to speculate, I think he wrote from an American perspective. The assumption is that national culture refers to a country. The problem with this assumption is that, as far as I know, the national cultures of many African countries do not have a bearing on how people live their lives. It is the ethnic cultures that do. So, the only way that Livermore’s statement could be true is if his “national culture” refers to the tribes and languages within countries. For instance, I come from a tribe known as the </w:t>
      </w:r>
      <w:proofErr w:type="spellStart"/>
      <w:r>
        <w:rPr>
          <w:rStyle w:val="Emphasis"/>
          <w:color w:val="0E101A"/>
        </w:rPr>
        <w:t>Kisii</w:t>
      </w:r>
      <w:proofErr w:type="spellEnd"/>
      <w:r>
        <w:rPr>
          <w:rStyle w:val="Emphasis"/>
          <w:color w:val="0E101A"/>
        </w:rPr>
        <w:t>.</w:t>
      </w:r>
      <w:r>
        <w:rPr>
          <w:color w:val="0E101A"/>
        </w:rPr>
        <w:t xml:space="preserve"> We are within Kenya. Consequently, my cultural orientation is significantly shaped by my </w:t>
      </w:r>
      <w:proofErr w:type="spellStart"/>
      <w:r>
        <w:rPr>
          <w:color w:val="0E101A"/>
        </w:rPr>
        <w:t>K</w:t>
      </w:r>
      <w:r>
        <w:rPr>
          <w:rStyle w:val="Emphasis"/>
          <w:color w:val="0E101A"/>
        </w:rPr>
        <w:t>isii</w:t>
      </w:r>
      <w:proofErr w:type="spellEnd"/>
      <w:r>
        <w:rPr>
          <w:rStyle w:val="Emphasis"/>
          <w:color w:val="0E101A"/>
        </w:rPr>
        <w:t> </w:t>
      </w:r>
      <w:r>
        <w:rPr>
          <w:color w:val="0E101A"/>
        </w:rPr>
        <w:t>culture rather than my Kenyan culture. I do not know what other Kenyans would say, but sometimes I think our ethnic cultures are stronger than our national culture as a country. That explains why we have strenuously tried but failed to overcome tribalism. </w:t>
      </w:r>
    </w:p>
    <w:p w14:paraId="697A722D" w14:textId="47FC15ED" w:rsidR="00F413FC" w:rsidRDefault="00F413FC" w:rsidP="00F413FC">
      <w:pPr>
        <w:pStyle w:val="NormalWeb"/>
        <w:spacing w:before="0" w:beforeAutospacing="0" w:after="240" w:afterAutospacing="0"/>
        <w:rPr>
          <w:color w:val="0E101A"/>
        </w:rPr>
      </w:pPr>
      <w:r>
        <w:rPr>
          <w:color w:val="0E101A"/>
        </w:rPr>
        <w:t>In closing, I encourage you to be like Paul, who to the Jews became like a Jew, to win the Jews (1 Cor 9:2</w:t>
      </w:r>
      <w:r w:rsidR="004F2459">
        <w:rPr>
          <w:color w:val="0E101A"/>
        </w:rPr>
        <w:t>0</w:t>
      </w:r>
      <w:r>
        <w:rPr>
          <w:color w:val="0E101A"/>
        </w:rPr>
        <w:t>, NIV). If you take that approach, you shall be able to overcome your limitations.</w:t>
      </w:r>
    </w:p>
    <w:p w14:paraId="262FD9B4" w14:textId="77777777" w:rsidR="00F413FC" w:rsidRDefault="00F413FC">
      <w:pPr>
        <w:rPr>
          <w:rFonts w:ascii="Times New Roman" w:hAnsi="Times New Roman" w:cs="Times New Roman"/>
          <w:sz w:val="24"/>
          <w:szCs w:val="24"/>
        </w:rPr>
      </w:pPr>
    </w:p>
    <w:p w14:paraId="03B8B915" w14:textId="20FFE3DE" w:rsidR="006B1BEE" w:rsidRPr="00D05349" w:rsidRDefault="006B1BEE">
      <w:pPr>
        <w:rPr>
          <w:rFonts w:ascii="Times New Roman" w:hAnsi="Times New Roman" w:cs="Times New Roman"/>
          <w:b/>
          <w:bCs/>
          <w:color w:val="222222"/>
          <w:sz w:val="24"/>
          <w:szCs w:val="24"/>
          <w:shd w:val="clear" w:color="auto" w:fill="FFFFFF"/>
        </w:rPr>
      </w:pPr>
      <w:r w:rsidRPr="00D05349">
        <w:rPr>
          <w:rFonts w:ascii="Times New Roman" w:hAnsi="Times New Roman" w:cs="Times New Roman"/>
          <w:b/>
          <w:bCs/>
          <w:color w:val="222222"/>
          <w:sz w:val="24"/>
          <w:szCs w:val="24"/>
          <w:shd w:val="clear" w:color="auto" w:fill="FFFFFF"/>
        </w:rPr>
        <w:t>Bibliography</w:t>
      </w:r>
    </w:p>
    <w:p w14:paraId="014DEB2F" w14:textId="77777777" w:rsidR="00D05349" w:rsidRPr="00E5005E" w:rsidRDefault="00D05349" w:rsidP="00D05349">
      <w:pPr>
        <w:ind w:left="720" w:hanging="720"/>
        <w:rPr>
          <w:rFonts w:ascii="Times New Roman" w:hAnsi="Times New Roman" w:cs="Times New Roman"/>
          <w:color w:val="212529"/>
          <w:sz w:val="24"/>
          <w:szCs w:val="24"/>
          <w:shd w:val="clear" w:color="auto" w:fill="FFFFFF"/>
        </w:rPr>
      </w:pPr>
      <w:r w:rsidRPr="00E5005E">
        <w:rPr>
          <w:rFonts w:ascii="Times New Roman" w:hAnsi="Times New Roman" w:cs="Times New Roman"/>
          <w:color w:val="212529"/>
          <w:sz w:val="24"/>
          <w:szCs w:val="24"/>
          <w:shd w:val="clear" w:color="auto" w:fill="FFFFFF"/>
        </w:rPr>
        <w:t>Livermore, David. </w:t>
      </w:r>
      <w:r w:rsidRPr="00E5005E">
        <w:rPr>
          <w:rStyle w:val="Emphasis"/>
          <w:rFonts w:ascii="Times New Roman" w:hAnsi="Times New Roman" w:cs="Times New Roman"/>
          <w:color w:val="212529"/>
          <w:sz w:val="24"/>
          <w:szCs w:val="24"/>
          <w:shd w:val="clear" w:color="auto" w:fill="FFFFFF"/>
        </w:rPr>
        <w:t>Leading with Cultural Intelligence: The Real Secret to Success.</w:t>
      </w:r>
      <w:r w:rsidRPr="00E5005E">
        <w:rPr>
          <w:rFonts w:ascii="Times New Roman" w:hAnsi="Times New Roman" w:cs="Times New Roman"/>
          <w:color w:val="212529"/>
          <w:sz w:val="24"/>
          <w:szCs w:val="24"/>
          <w:shd w:val="clear" w:color="auto" w:fill="FFFFFF"/>
        </w:rPr>
        <w:t> 2nd ed. New York: AMACOM, 2015.</w:t>
      </w:r>
    </w:p>
    <w:p w14:paraId="13D584A2" w14:textId="77777777" w:rsidR="00D05349" w:rsidRDefault="00D05349">
      <w:pPr>
        <w:rPr>
          <w:rFonts w:ascii="Times New Roman" w:hAnsi="Times New Roman" w:cs="Times New Roman"/>
          <w:color w:val="222222"/>
          <w:sz w:val="24"/>
          <w:szCs w:val="24"/>
          <w:shd w:val="clear" w:color="auto" w:fill="FFFFFF"/>
        </w:rPr>
      </w:pPr>
    </w:p>
    <w:p w14:paraId="1C66ABF6" w14:textId="6CF81133" w:rsidR="00CF2CC0" w:rsidRPr="006B1BEE" w:rsidRDefault="006B1BEE">
      <w:pPr>
        <w:rPr>
          <w:rFonts w:ascii="Times New Roman" w:hAnsi="Times New Roman" w:cs="Times New Roman"/>
          <w:sz w:val="24"/>
          <w:szCs w:val="24"/>
        </w:rPr>
      </w:pPr>
      <w:r w:rsidRPr="006B1BEE">
        <w:rPr>
          <w:rFonts w:ascii="Times New Roman" w:hAnsi="Times New Roman" w:cs="Times New Roman"/>
          <w:color w:val="222222"/>
          <w:sz w:val="24"/>
          <w:szCs w:val="24"/>
          <w:shd w:val="clear" w:color="auto" w:fill="FFFFFF"/>
        </w:rPr>
        <w:t xml:space="preserve">  </w:t>
      </w:r>
    </w:p>
    <w:sectPr w:rsidR="00CF2CC0" w:rsidRPr="006B1B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575D9" w14:textId="77777777" w:rsidR="003016FF" w:rsidRDefault="003016FF" w:rsidP="006B1BEE">
      <w:pPr>
        <w:spacing w:after="0" w:line="240" w:lineRule="auto"/>
      </w:pPr>
      <w:r>
        <w:separator/>
      </w:r>
    </w:p>
  </w:endnote>
  <w:endnote w:type="continuationSeparator" w:id="0">
    <w:p w14:paraId="7C1C4F75" w14:textId="77777777" w:rsidR="003016FF" w:rsidRDefault="003016FF" w:rsidP="006B1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F70F1" w14:textId="77777777" w:rsidR="003016FF" w:rsidRDefault="003016FF" w:rsidP="006B1BEE">
      <w:pPr>
        <w:spacing w:after="0" w:line="240" w:lineRule="auto"/>
      </w:pPr>
      <w:r>
        <w:separator/>
      </w:r>
    </w:p>
  </w:footnote>
  <w:footnote w:type="continuationSeparator" w:id="0">
    <w:p w14:paraId="77B2ACE6" w14:textId="77777777" w:rsidR="003016FF" w:rsidRDefault="003016FF" w:rsidP="006B1BEE">
      <w:pPr>
        <w:spacing w:after="0" w:line="240" w:lineRule="auto"/>
      </w:pPr>
      <w:r>
        <w:continuationSeparator/>
      </w:r>
    </w:p>
  </w:footnote>
  <w:footnote w:id="1">
    <w:p w14:paraId="1E5C4A55" w14:textId="77777777" w:rsidR="00F413FC" w:rsidRDefault="00F413FC" w:rsidP="00F413FC">
      <w:pPr>
        <w:pStyle w:val="FootnoteText"/>
      </w:pPr>
      <w:r>
        <w:rPr>
          <w:rStyle w:val="FootnoteReference"/>
        </w:rPr>
        <w:footnoteRef/>
      </w:r>
      <w:r>
        <w:t xml:space="preserve"> </w:t>
      </w:r>
      <w:r w:rsidRPr="002002C4">
        <w:rPr>
          <w:rFonts w:ascii="Times New Roman" w:hAnsi="Times New Roman" w:cs="Times New Roman"/>
          <w:color w:val="212529"/>
          <w:shd w:val="clear" w:color="auto" w:fill="FFFFFF"/>
        </w:rPr>
        <w:t>David Livermore, </w:t>
      </w:r>
      <w:r w:rsidRPr="002002C4">
        <w:rPr>
          <w:rStyle w:val="Emphasis"/>
          <w:rFonts w:ascii="Times New Roman" w:hAnsi="Times New Roman" w:cs="Times New Roman"/>
          <w:color w:val="212529"/>
          <w:shd w:val="clear" w:color="auto" w:fill="FFFFFF"/>
        </w:rPr>
        <w:t>Leading with Cultural Intelligence: The Real Secret to Success.</w:t>
      </w:r>
      <w:r w:rsidRPr="002002C4">
        <w:rPr>
          <w:rFonts w:ascii="Times New Roman" w:hAnsi="Times New Roman" w:cs="Times New Roman"/>
          <w:color w:val="212529"/>
          <w:shd w:val="clear" w:color="auto" w:fill="FFFFFF"/>
        </w:rPr>
        <w:t> 2nd ed. (New York: AMACOM, 2015),</w:t>
      </w:r>
      <w:r>
        <w:rPr>
          <w:rFonts w:ascii="Times New Roman" w:hAnsi="Times New Roman" w:cs="Times New Roman"/>
          <w:color w:val="212529"/>
          <w:shd w:val="clear" w:color="auto" w:fill="FFFFFF"/>
        </w:rPr>
        <w:t xml:space="preserve"> 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CC0"/>
    <w:rsid w:val="003016FF"/>
    <w:rsid w:val="004F2459"/>
    <w:rsid w:val="00554FCE"/>
    <w:rsid w:val="006B1BEE"/>
    <w:rsid w:val="00C42CC6"/>
    <w:rsid w:val="00CF2CC0"/>
    <w:rsid w:val="00D05349"/>
    <w:rsid w:val="00F41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FCFF"/>
  <w15:chartTrackingRefBased/>
  <w15:docId w15:val="{ECB6BC8B-D9BC-45EF-9C35-B1E7B343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B1B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1BEE"/>
    <w:rPr>
      <w:sz w:val="20"/>
      <w:szCs w:val="20"/>
    </w:rPr>
  </w:style>
  <w:style w:type="character" w:styleId="FootnoteReference">
    <w:name w:val="footnote reference"/>
    <w:basedOn w:val="DefaultParagraphFont"/>
    <w:uiPriority w:val="99"/>
    <w:semiHidden/>
    <w:unhideWhenUsed/>
    <w:rsid w:val="006B1BEE"/>
    <w:rPr>
      <w:vertAlign w:val="superscript"/>
    </w:rPr>
  </w:style>
  <w:style w:type="character" w:styleId="Emphasis">
    <w:name w:val="Emphasis"/>
    <w:basedOn w:val="DefaultParagraphFont"/>
    <w:uiPriority w:val="20"/>
    <w:qFormat/>
    <w:rsid w:val="006B1BEE"/>
    <w:rPr>
      <w:i/>
      <w:iCs/>
    </w:rPr>
  </w:style>
  <w:style w:type="paragraph" w:styleId="NormalWeb">
    <w:name w:val="Normal (Web)"/>
    <w:basedOn w:val="Normal"/>
    <w:uiPriority w:val="99"/>
    <w:semiHidden/>
    <w:unhideWhenUsed/>
    <w:rsid w:val="00F413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13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56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629E08D-4486-4CF3-9B7E-363B3D196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2021-06-05T16:58:00Z</dcterms:created>
  <dcterms:modified xsi:type="dcterms:W3CDTF">2021-06-05T18:07:00Z</dcterms:modified>
</cp:coreProperties>
</file>