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D6518D" w14:textId="77777777" w:rsidR="00EE7265" w:rsidRDefault="00EE7265" w:rsidP="00EE7265">
      <w:pPr>
        <w:pStyle w:val="NormalWeb"/>
        <w:spacing w:before="0" w:beforeAutospacing="0" w:after="0" w:afterAutospacing="0"/>
        <w:rPr>
          <w:color w:val="0E101A"/>
        </w:rPr>
      </w:pPr>
      <w:r>
        <w:rPr>
          <w:color w:val="0E101A"/>
        </w:rPr>
        <w:t xml:space="preserve">Kennedy </w:t>
      </w:r>
      <w:proofErr w:type="spellStart"/>
      <w:r>
        <w:rPr>
          <w:color w:val="0E101A"/>
        </w:rPr>
        <w:t>Jobity</w:t>
      </w:r>
      <w:proofErr w:type="spellEnd"/>
      <w:r>
        <w:rPr>
          <w:color w:val="0E101A"/>
        </w:rPr>
        <w:t>,</w:t>
      </w:r>
    </w:p>
    <w:p w14:paraId="040367FE" w14:textId="4E6CE59B" w:rsidR="00EE7265" w:rsidRDefault="00EE7265" w:rsidP="00EE7265">
      <w:pPr>
        <w:pStyle w:val="NormalWeb"/>
        <w:spacing w:before="0" w:beforeAutospacing="0" w:after="0" w:afterAutospacing="0"/>
        <w:rPr>
          <w:color w:val="0E101A"/>
        </w:rPr>
      </w:pPr>
      <w:r>
        <w:rPr>
          <w:color w:val="0E101A"/>
        </w:rPr>
        <w:t xml:space="preserve">I enjoyed reading your post. Particularly, I found plausible the arguments you made on the shortcomings of contextualization. No matter how much we try to </w:t>
      </w:r>
      <w:r w:rsidR="00D06B06">
        <w:rPr>
          <w:color w:val="0E101A"/>
        </w:rPr>
        <w:t xml:space="preserve">understand and </w:t>
      </w:r>
      <w:r>
        <w:rPr>
          <w:color w:val="0E101A"/>
        </w:rPr>
        <w:t>ad</w:t>
      </w:r>
      <w:r w:rsidR="00D06B06">
        <w:rPr>
          <w:color w:val="0E101A"/>
        </w:rPr>
        <w:t xml:space="preserve">just to </w:t>
      </w:r>
      <w:r>
        <w:rPr>
          <w:color w:val="0E101A"/>
        </w:rPr>
        <w:t xml:space="preserve">the culture of the people we are reaching out to, </w:t>
      </w:r>
      <w:r w:rsidR="00D06B06">
        <w:rPr>
          <w:color w:val="0E101A"/>
        </w:rPr>
        <w:t xml:space="preserve">our </w:t>
      </w:r>
      <w:r>
        <w:rPr>
          <w:color w:val="0E101A"/>
        </w:rPr>
        <w:t>sinful nature still pose</w:t>
      </w:r>
      <w:r w:rsidR="00D06B06">
        <w:rPr>
          <w:color w:val="0E101A"/>
        </w:rPr>
        <w:t>s</w:t>
      </w:r>
      <w:r>
        <w:rPr>
          <w:color w:val="0E101A"/>
        </w:rPr>
        <w:t xml:space="preserve"> a serious </w:t>
      </w:r>
      <w:r w:rsidR="00D06B06">
        <w:rPr>
          <w:color w:val="0E101A"/>
        </w:rPr>
        <w:t>threat to</w:t>
      </w:r>
      <w:r>
        <w:rPr>
          <w:color w:val="0E101A"/>
        </w:rPr>
        <w:t xml:space="preserve"> our interactions. You said, “What is good for us to remember though is that we should always allow the power of God’s word to do the conviction of hearts.” I could not agree more. That power you are mentioning is through the Holy Spirit. Jesus said,” And when he comes, he will convict the world of its sin, and of God's righteousness, and of the coming judgment” (John 16:8, NIV).</w:t>
      </w:r>
      <w:hyperlink w:anchor="_ftn1" w:tgtFrame="_blank" w:history="1">
        <w:r w:rsidR="00D06B06">
          <w:rPr>
            <w:rStyle w:val="FootnoteReference"/>
            <w:rFonts w:ascii="Arial" w:hAnsi="Arial" w:cs="Arial"/>
            <w:color w:val="202124"/>
            <w:shd w:val="clear" w:color="auto" w:fill="FFFFFF"/>
          </w:rPr>
          <w:footnoteReference w:id="1"/>
        </w:r>
        <w:r w:rsidR="00D06B06">
          <w:rPr>
            <w:rFonts w:ascii="Arial" w:hAnsi="Arial" w:cs="Arial"/>
            <w:color w:val="202124"/>
            <w:shd w:val="clear" w:color="auto" w:fill="FFFFFF"/>
          </w:rPr>
          <w:t xml:space="preserve"> </w:t>
        </w:r>
      </w:hyperlink>
      <w:r>
        <w:rPr>
          <w:color w:val="0E101A"/>
        </w:rPr>
        <w:t xml:space="preserve"> Thus, I think we should not be overly concerned with contextualization. </w:t>
      </w:r>
      <w:r w:rsidR="00D06B06">
        <w:rPr>
          <w:color w:val="0E101A"/>
        </w:rPr>
        <w:t>Instead, we should</w:t>
      </w:r>
      <w:r>
        <w:rPr>
          <w:color w:val="0E101A"/>
        </w:rPr>
        <w:t xml:space="preserve"> allow the Holy Spirit to reveal Jesus to people in the way </w:t>
      </w:r>
      <w:r w:rsidR="00D06B06">
        <w:rPr>
          <w:color w:val="0E101A"/>
        </w:rPr>
        <w:t xml:space="preserve">he knows </w:t>
      </w:r>
      <w:r>
        <w:rPr>
          <w:color w:val="0E101A"/>
        </w:rPr>
        <w:t xml:space="preserve">best </w:t>
      </w:r>
      <w:r w:rsidR="00D06B06">
        <w:rPr>
          <w:color w:val="0E101A"/>
        </w:rPr>
        <w:t>for them</w:t>
      </w:r>
      <w:r>
        <w:rPr>
          <w:color w:val="0E101A"/>
        </w:rPr>
        <w:t xml:space="preserve"> </w:t>
      </w:r>
      <w:r w:rsidR="00D06B06">
        <w:rPr>
          <w:color w:val="0E101A"/>
        </w:rPr>
        <w:t xml:space="preserve">to </w:t>
      </w:r>
      <w:r>
        <w:rPr>
          <w:color w:val="0E101A"/>
        </w:rPr>
        <w:t xml:space="preserve">relate and understand. There has to be a part where only he can communicate with an individual. In </w:t>
      </w:r>
      <w:r w:rsidR="00D06B06">
        <w:rPr>
          <w:color w:val="0E101A"/>
        </w:rPr>
        <w:t>1</w:t>
      </w:r>
      <w:r>
        <w:rPr>
          <w:color w:val="0E101A"/>
        </w:rPr>
        <w:t xml:space="preserve"> Corinthians 2:11, Paul asks the Corinthian church, “For who knows a person's thoughts except for their own spirit within them?” He goes on further </w:t>
      </w:r>
      <w:r w:rsidR="00D06B06">
        <w:rPr>
          <w:color w:val="0E101A"/>
        </w:rPr>
        <w:t>and says</w:t>
      </w:r>
      <w:r>
        <w:rPr>
          <w:color w:val="0E101A"/>
        </w:rPr>
        <w:t>, “In the same way no one knows the thoughts of God except the Spirit of God.”</w:t>
      </w:r>
    </w:p>
    <w:p w14:paraId="51D33206" w14:textId="77777777" w:rsidR="00EE7265" w:rsidRDefault="00EE7265"/>
    <w:p w14:paraId="74C6B6C6" w14:textId="77777777" w:rsidR="00EE7265" w:rsidRDefault="00EE7265"/>
    <w:p w14:paraId="6CFB35A3" w14:textId="3526010F" w:rsidR="00447E60" w:rsidRDefault="00447E60"/>
    <w:sectPr w:rsidR="00447E6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202EEE" w14:textId="77777777" w:rsidR="00B72916" w:rsidRDefault="00B72916" w:rsidP="00EE7265">
      <w:pPr>
        <w:spacing w:after="0" w:line="240" w:lineRule="auto"/>
      </w:pPr>
      <w:r>
        <w:separator/>
      </w:r>
    </w:p>
  </w:endnote>
  <w:endnote w:type="continuationSeparator" w:id="0">
    <w:p w14:paraId="64F10F70" w14:textId="77777777" w:rsidR="00B72916" w:rsidRDefault="00B72916" w:rsidP="00EE72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FAE6E7" w14:textId="77777777" w:rsidR="00B72916" w:rsidRDefault="00B72916" w:rsidP="00EE7265">
      <w:pPr>
        <w:spacing w:after="0" w:line="240" w:lineRule="auto"/>
      </w:pPr>
      <w:r>
        <w:separator/>
      </w:r>
    </w:p>
  </w:footnote>
  <w:footnote w:type="continuationSeparator" w:id="0">
    <w:p w14:paraId="38E3F25C" w14:textId="77777777" w:rsidR="00B72916" w:rsidRDefault="00B72916" w:rsidP="00EE7265">
      <w:pPr>
        <w:spacing w:after="0" w:line="240" w:lineRule="auto"/>
      </w:pPr>
      <w:r>
        <w:continuationSeparator/>
      </w:r>
    </w:p>
  </w:footnote>
  <w:footnote w:id="1">
    <w:p w14:paraId="4F192B80" w14:textId="77777777" w:rsidR="00D06B06" w:rsidRDefault="00D06B06" w:rsidP="00D06B06">
      <w:pPr>
        <w:pStyle w:val="FootnoteText"/>
      </w:pPr>
      <w:r>
        <w:rPr>
          <w:rStyle w:val="FootnoteReference"/>
        </w:rPr>
        <w:footnoteRef/>
      </w:r>
      <w:r>
        <w:t xml:space="preserve"> </w:t>
      </w:r>
      <w:r w:rsidRPr="005C242E">
        <w:rPr>
          <w:rFonts w:ascii="Times New Roman" w:hAnsi="Times New Roman" w:cs="Times New Roman"/>
        </w:rPr>
        <w:t xml:space="preserve">Unless otherwise noted, all biblical passages referenced are in the </w:t>
      </w:r>
      <w:r w:rsidRPr="005C242E">
        <w:rPr>
          <w:rFonts w:ascii="Times New Roman" w:hAnsi="Times New Roman" w:cs="Times New Roman"/>
          <w:i/>
          <w:iCs/>
        </w:rPr>
        <w:t>New International Version</w:t>
      </w:r>
      <w:r w:rsidRPr="005C242E">
        <w:rPr>
          <w:rFonts w:ascii="Times New Roman" w:hAnsi="Times New Roman" w:cs="Times New Roman"/>
        </w:rPr>
        <w:t xml:space="preserve"> (Grand Rapids, MI: Zondervan, 2011).</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7E60"/>
    <w:rsid w:val="000435F7"/>
    <w:rsid w:val="002D4A44"/>
    <w:rsid w:val="00447E60"/>
    <w:rsid w:val="004A6B16"/>
    <w:rsid w:val="00B72916"/>
    <w:rsid w:val="00D06B06"/>
    <w:rsid w:val="00EE72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750B61"/>
  <w15:chartTrackingRefBased/>
  <w15:docId w15:val="{71E131BA-8CBE-4D7E-9DEF-055BF7290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EE726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E7265"/>
    <w:rPr>
      <w:sz w:val="20"/>
      <w:szCs w:val="20"/>
    </w:rPr>
  </w:style>
  <w:style w:type="character" w:styleId="FootnoteReference">
    <w:name w:val="footnote reference"/>
    <w:basedOn w:val="DefaultParagraphFont"/>
    <w:uiPriority w:val="99"/>
    <w:semiHidden/>
    <w:unhideWhenUsed/>
    <w:rsid w:val="00EE7265"/>
    <w:rPr>
      <w:vertAlign w:val="superscript"/>
    </w:rPr>
  </w:style>
  <w:style w:type="paragraph" w:styleId="NormalWeb">
    <w:name w:val="Normal (Web)"/>
    <w:basedOn w:val="Normal"/>
    <w:uiPriority w:val="99"/>
    <w:semiHidden/>
    <w:unhideWhenUsed/>
    <w:rsid w:val="00EE726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EE726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9768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D176F9B3-CF47-4FBF-832B-021EF1F14E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1</Pages>
  <Words>184</Words>
  <Characters>1050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1</cp:revision>
  <dcterms:created xsi:type="dcterms:W3CDTF">2021-06-13T11:54:00Z</dcterms:created>
  <dcterms:modified xsi:type="dcterms:W3CDTF">2021-06-13T15:02:00Z</dcterms:modified>
</cp:coreProperties>
</file>