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CFEF9" w14:textId="56E09087" w:rsidR="00CA7005" w:rsidRDefault="00CA7005" w:rsidP="00CA7005">
      <w:pPr>
        <w:pStyle w:val="NormalWeb"/>
        <w:spacing w:before="0" w:beforeAutospacing="0" w:after="0" w:afterAutospacing="0"/>
        <w:rPr>
          <w:color w:val="0E101A"/>
        </w:rPr>
      </w:pPr>
      <w:r>
        <w:rPr>
          <w:color w:val="0E101A"/>
        </w:rPr>
        <w:t xml:space="preserve">The nonverbal communication concept that I have identified and would like to discuss how it could positively or negatively affect communication and gospel witness in an intercultural setting is paralanguage. According to Stella T. Toomey and </w:t>
      </w:r>
      <w:proofErr w:type="spellStart"/>
      <w:r>
        <w:rPr>
          <w:color w:val="0E101A"/>
        </w:rPr>
        <w:t>Leeva</w:t>
      </w:r>
      <w:proofErr w:type="spellEnd"/>
      <w:r>
        <w:rPr>
          <w:color w:val="0E101A"/>
        </w:rPr>
        <w:t xml:space="preserve"> C. Chung, paralanguage is “the sounds and tones we use in conversation and the speech behavior that accompanies the message.”</w:t>
      </w:r>
      <w:r w:rsidR="00C24152" w:rsidRPr="00CD4624">
        <w:rPr>
          <w:rStyle w:val="FootnoteReference"/>
        </w:rPr>
        <w:footnoteReference w:id="1"/>
      </w:r>
      <w:r>
        <w:rPr>
          <w:color w:val="0E101A"/>
        </w:rPr>
        <w:t> In other words, it is how something is said, not what is said.</w:t>
      </w:r>
      <w:r w:rsidR="00C24152" w:rsidRPr="00CD4624">
        <w:rPr>
          <w:rStyle w:val="FootnoteReference"/>
        </w:rPr>
        <w:footnoteReference w:id="2"/>
      </w:r>
      <w:r>
        <w:rPr>
          <w:color w:val="0E101A"/>
        </w:rPr>
        <w:t>  A few years back, I invited a friend to our church in the city of Nairobi for a service. When the friend came, he was disturbed by how people in our church prayed and worshipped. The reason is that our church congregants are very expressive in their worship. In the service, people will be walking up and down as they pray. Others will be crying and others will be shouting and yelling in their prayers. After the service, the friend asked me how I survive</w:t>
      </w:r>
      <w:r w:rsidR="00C24152">
        <w:rPr>
          <w:color w:val="0E101A"/>
        </w:rPr>
        <w:t>d</w:t>
      </w:r>
      <w:r>
        <w:rPr>
          <w:color w:val="0E101A"/>
        </w:rPr>
        <w:t xml:space="preserve"> in such kind of services. He could not imagine me being part of such ‘chaos’ every Sunday.</w:t>
      </w:r>
    </w:p>
    <w:p w14:paraId="03DE88CD" w14:textId="4ACA0107" w:rsidR="00CA7005" w:rsidRDefault="00CA7005" w:rsidP="00CA7005">
      <w:pPr>
        <w:pStyle w:val="NormalWeb"/>
        <w:spacing w:before="0" w:beforeAutospacing="0" w:after="0" w:afterAutospacing="0"/>
        <w:rPr>
          <w:color w:val="0E101A"/>
        </w:rPr>
      </w:pPr>
      <w:r>
        <w:rPr>
          <w:color w:val="0E101A"/>
        </w:rPr>
        <w:t>In reading the course material for this week, I somehow could understand and relate with my friend. Coming from a quiet and different background, my friend could not worship at our church. He kept on wondering why we were yelling at God. Was God deaf that he could not hear? Though I asked him to bear with us, the service was a turn-off for him. He never came again. The passionate expressiveness of our church</w:t>
      </w:r>
      <w:r w:rsidR="00C24152">
        <w:rPr>
          <w:color w:val="0E101A"/>
        </w:rPr>
        <w:t xml:space="preserve"> congregants</w:t>
      </w:r>
      <w:r>
        <w:rPr>
          <w:color w:val="0E101A"/>
        </w:rPr>
        <w:t xml:space="preserve"> had turned him away. Looking at that experience, I see how paralanguage can harm communication and gospel witness. My friend whom I had brought to church to hear the gospel instead of being blessed ended up questioning our worship. As Melody Harper notes, we had allowed a misunderstanding to put up a barrier for the gospel.</w:t>
      </w:r>
      <w:r w:rsidR="00C24152" w:rsidRPr="00CD4624">
        <w:rPr>
          <w:rStyle w:val="FootnoteReference"/>
        </w:rPr>
        <w:footnoteReference w:id="3"/>
      </w:r>
      <w:r>
        <w:rPr>
          <w:color w:val="0E101A"/>
        </w:rPr>
        <w:t> Had I considered his background, probably our church service would not have been a good sta</w:t>
      </w:r>
      <w:r w:rsidR="00C24152">
        <w:rPr>
          <w:color w:val="0E101A"/>
        </w:rPr>
        <w:t>rting</w:t>
      </w:r>
      <w:r>
        <w:rPr>
          <w:color w:val="0E101A"/>
        </w:rPr>
        <w:t xml:space="preserve"> point. </w:t>
      </w:r>
    </w:p>
    <w:p w14:paraId="0B32DB25" w14:textId="77777777" w:rsidR="00CA7005" w:rsidRDefault="00CA7005" w:rsidP="00CA7005">
      <w:pPr>
        <w:pStyle w:val="NormalWeb"/>
        <w:spacing w:before="0" w:beforeAutospacing="0" w:after="0" w:afterAutospacing="0"/>
        <w:rPr>
          <w:color w:val="0E101A"/>
        </w:rPr>
      </w:pPr>
      <w:r>
        <w:rPr>
          <w:color w:val="0E101A"/>
        </w:rPr>
        <w:t>That said, paralanguage also has some positive sides to it. Sometimes what people remember is not what we said but rather how we made them feel. Paul writing to the Colossians says, “Let your conversation be always full of grace, seasoned with salt, so that you may know how to answer everyone" (Col 4:6, NIV). When we speak to people in a tone that they can best relate to, we give them a chance to hear the gospel without any distractions. I always say, if speaking in a loud voice will hinder someone from hearing the gospel, then let us not speak in such a manner. Similarly, if speaking passionately will help someone feel talked to, then let us speak expressively. The thing is we should figure out how to push the word of God down people’s throats.</w:t>
      </w:r>
    </w:p>
    <w:p w14:paraId="1F08B188" w14:textId="77777777" w:rsidR="00CA7005" w:rsidRDefault="00CA7005">
      <w:pPr>
        <w:rPr>
          <w:rFonts w:ascii="Times New Roman" w:hAnsi="Times New Roman" w:cs="Times New Roman"/>
          <w:color w:val="212529"/>
          <w:sz w:val="24"/>
          <w:szCs w:val="24"/>
          <w:shd w:val="clear" w:color="auto" w:fill="FFFFFF"/>
        </w:rPr>
      </w:pPr>
    </w:p>
    <w:p w14:paraId="36C4CB9C" w14:textId="77777777" w:rsidR="00CA7005" w:rsidRDefault="00CA7005">
      <w:pPr>
        <w:rPr>
          <w:rFonts w:ascii="Times New Roman" w:hAnsi="Times New Roman" w:cs="Times New Roman"/>
          <w:color w:val="212529"/>
          <w:sz w:val="24"/>
          <w:szCs w:val="24"/>
          <w:shd w:val="clear" w:color="auto" w:fill="FFFFFF"/>
        </w:rPr>
      </w:pPr>
    </w:p>
    <w:p w14:paraId="68B71532" w14:textId="38644C58" w:rsidR="00CD4624" w:rsidRPr="00CD4624" w:rsidRDefault="00CD4624">
      <w:pPr>
        <w:rPr>
          <w:rFonts w:ascii="Times New Roman" w:hAnsi="Times New Roman" w:cs="Times New Roman"/>
          <w:b/>
          <w:bCs/>
          <w:sz w:val="24"/>
          <w:szCs w:val="24"/>
        </w:rPr>
      </w:pPr>
      <w:r w:rsidRPr="00CD4624">
        <w:rPr>
          <w:rFonts w:ascii="Times New Roman" w:hAnsi="Times New Roman" w:cs="Times New Roman"/>
          <w:b/>
          <w:bCs/>
          <w:sz w:val="24"/>
          <w:szCs w:val="24"/>
        </w:rPr>
        <w:t>Bibliography</w:t>
      </w:r>
    </w:p>
    <w:p w14:paraId="41FD0CF8" w14:textId="77777777" w:rsidR="00CD4624" w:rsidRPr="00CD4624" w:rsidRDefault="00CD4624" w:rsidP="00CD4624">
      <w:pPr>
        <w:ind w:left="720" w:hanging="720"/>
        <w:rPr>
          <w:rFonts w:ascii="Times New Roman" w:hAnsi="Times New Roman" w:cs="Times New Roman"/>
          <w:sz w:val="24"/>
          <w:szCs w:val="24"/>
        </w:rPr>
      </w:pPr>
      <w:r w:rsidRPr="00C2478E">
        <w:rPr>
          <w:rFonts w:ascii="Times New Roman" w:hAnsi="Times New Roman" w:cs="Times New Roman"/>
        </w:rPr>
        <w:t>Harper, Melody</w:t>
      </w:r>
      <w:r>
        <w:rPr>
          <w:rFonts w:ascii="Times New Roman" w:hAnsi="Times New Roman" w:cs="Times New Roman"/>
        </w:rPr>
        <w:t xml:space="preserve">. </w:t>
      </w:r>
      <w:r w:rsidRPr="00C2478E">
        <w:rPr>
          <w:rFonts w:ascii="Times New Roman" w:hAnsi="Times New Roman" w:cs="Times New Roman"/>
        </w:rPr>
        <w:t>“</w:t>
      </w:r>
      <w:r>
        <w:rPr>
          <w:rFonts w:ascii="Times New Roman" w:hAnsi="Times New Roman" w:cs="Times New Roman"/>
        </w:rPr>
        <w:t>Nonv</w:t>
      </w:r>
      <w:r w:rsidRPr="00C2478E">
        <w:rPr>
          <w:rFonts w:ascii="Times New Roman" w:hAnsi="Times New Roman" w:cs="Times New Roman"/>
        </w:rPr>
        <w:t>erbal</w:t>
      </w:r>
      <w:r w:rsidRPr="00C2478E">
        <w:rPr>
          <w:rFonts w:ascii="Times New Roman" w:hAnsi="Times New Roman" w:cs="Times New Roman"/>
        </w:rPr>
        <w:t xml:space="preserve"> Communication” (Course video in GLST 650 at Liberty University, Lynchburg, VA, June </w:t>
      </w:r>
      <w:r>
        <w:rPr>
          <w:rFonts w:ascii="Times New Roman" w:hAnsi="Times New Roman" w:cs="Times New Roman"/>
        </w:rPr>
        <w:t>23</w:t>
      </w:r>
      <w:r w:rsidRPr="00C2478E">
        <w:rPr>
          <w:rFonts w:ascii="Times New Roman" w:hAnsi="Times New Roman" w:cs="Times New Roman"/>
        </w:rPr>
        <w:t>, 2021).</w:t>
      </w:r>
    </w:p>
    <w:p w14:paraId="23E74D6D" w14:textId="77777777" w:rsidR="00CD4624" w:rsidRPr="00C2478E" w:rsidRDefault="00CD4624" w:rsidP="00CD4624">
      <w:pPr>
        <w:ind w:left="720" w:hanging="720"/>
        <w:rPr>
          <w:rFonts w:ascii="Times New Roman" w:hAnsi="Times New Roman" w:cs="Times New Roman"/>
          <w:color w:val="212529"/>
          <w:sz w:val="24"/>
          <w:szCs w:val="24"/>
          <w:shd w:val="clear" w:color="auto" w:fill="FFFFFF"/>
        </w:rPr>
      </w:pPr>
      <w:r w:rsidRPr="00F740A3">
        <w:rPr>
          <w:rFonts w:ascii="Times New Roman" w:hAnsi="Times New Roman" w:cs="Times New Roman"/>
          <w:color w:val="212529"/>
          <w:sz w:val="24"/>
          <w:szCs w:val="24"/>
          <w:shd w:val="clear" w:color="auto" w:fill="FFFFFF"/>
        </w:rPr>
        <w:lastRenderedPageBreak/>
        <w:t xml:space="preserve">Toomey, Stella T., and </w:t>
      </w:r>
      <w:proofErr w:type="spellStart"/>
      <w:r w:rsidRPr="00F740A3">
        <w:rPr>
          <w:rFonts w:ascii="Times New Roman" w:hAnsi="Times New Roman" w:cs="Times New Roman"/>
          <w:color w:val="212529"/>
          <w:sz w:val="24"/>
          <w:szCs w:val="24"/>
          <w:shd w:val="clear" w:color="auto" w:fill="FFFFFF"/>
        </w:rPr>
        <w:t>Leeva</w:t>
      </w:r>
      <w:proofErr w:type="spellEnd"/>
      <w:r w:rsidRPr="00F740A3">
        <w:rPr>
          <w:rFonts w:ascii="Times New Roman" w:hAnsi="Times New Roman" w:cs="Times New Roman"/>
          <w:color w:val="212529"/>
          <w:sz w:val="24"/>
          <w:szCs w:val="24"/>
          <w:shd w:val="clear" w:color="auto" w:fill="FFFFFF"/>
        </w:rPr>
        <w:t xml:space="preserve"> C. Chung. </w:t>
      </w:r>
      <w:r w:rsidRPr="00F740A3">
        <w:rPr>
          <w:rStyle w:val="Emphasis"/>
          <w:rFonts w:ascii="Times New Roman" w:hAnsi="Times New Roman" w:cs="Times New Roman"/>
          <w:color w:val="212529"/>
          <w:sz w:val="24"/>
          <w:szCs w:val="24"/>
          <w:shd w:val="clear" w:color="auto" w:fill="FFFFFF"/>
        </w:rPr>
        <w:t>Understanding Intercultural Communication</w:t>
      </w:r>
      <w:r w:rsidRPr="00F740A3">
        <w:rPr>
          <w:rFonts w:ascii="Times New Roman" w:hAnsi="Times New Roman" w:cs="Times New Roman"/>
          <w:color w:val="212529"/>
          <w:sz w:val="24"/>
          <w:szCs w:val="24"/>
          <w:shd w:val="clear" w:color="auto" w:fill="FFFFFF"/>
        </w:rPr>
        <w:t xml:space="preserve">. 2nd ed. New York: Oxford University Press, 2012. </w:t>
      </w:r>
    </w:p>
    <w:sectPr w:rsidR="00CD4624" w:rsidRPr="00C247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ACCF4" w14:textId="77777777" w:rsidR="003F2D8D" w:rsidRDefault="003F2D8D" w:rsidP="00B63A81">
      <w:pPr>
        <w:spacing w:after="0" w:line="240" w:lineRule="auto"/>
      </w:pPr>
      <w:r>
        <w:separator/>
      </w:r>
    </w:p>
  </w:endnote>
  <w:endnote w:type="continuationSeparator" w:id="0">
    <w:p w14:paraId="0CE9582C" w14:textId="77777777" w:rsidR="003F2D8D" w:rsidRDefault="003F2D8D" w:rsidP="00B63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5A539" w14:textId="77777777" w:rsidR="003F2D8D" w:rsidRDefault="003F2D8D" w:rsidP="00B63A81">
      <w:pPr>
        <w:spacing w:after="0" w:line="240" w:lineRule="auto"/>
      </w:pPr>
      <w:r>
        <w:separator/>
      </w:r>
    </w:p>
  </w:footnote>
  <w:footnote w:type="continuationSeparator" w:id="0">
    <w:p w14:paraId="4445E88F" w14:textId="77777777" w:rsidR="003F2D8D" w:rsidRDefault="003F2D8D" w:rsidP="00B63A81">
      <w:pPr>
        <w:spacing w:after="0" w:line="240" w:lineRule="auto"/>
      </w:pPr>
      <w:r>
        <w:continuationSeparator/>
      </w:r>
    </w:p>
  </w:footnote>
  <w:footnote w:id="1">
    <w:p w14:paraId="1612FD72" w14:textId="77777777" w:rsidR="00C24152" w:rsidRPr="002878E2" w:rsidRDefault="00C24152" w:rsidP="00C24152">
      <w:pPr>
        <w:pStyle w:val="FootnoteText"/>
        <w:spacing w:before="240"/>
        <w:ind w:firstLine="720"/>
        <w:rPr>
          <w:rFonts w:ascii="Times New Roman" w:hAnsi="Times New Roman" w:cs="Times New Roman"/>
        </w:rPr>
      </w:pPr>
      <w:r>
        <w:rPr>
          <w:rStyle w:val="FootnoteReference"/>
        </w:rPr>
        <w:footnoteRef/>
      </w:r>
      <w:r>
        <w:t xml:space="preserve"> </w:t>
      </w:r>
      <w:r w:rsidRPr="00C2478E">
        <w:rPr>
          <w:rFonts w:ascii="Times New Roman" w:hAnsi="Times New Roman" w:cs="Times New Roman"/>
          <w:color w:val="212529"/>
          <w:shd w:val="clear" w:color="auto" w:fill="FFFFFF"/>
        </w:rPr>
        <w:t xml:space="preserve">Stella T. Toomey and </w:t>
      </w:r>
      <w:proofErr w:type="spellStart"/>
      <w:r w:rsidRPr="00C2478E">
        <w:rPr>
          <w:rFonts w:ascii="Times New Roman" w:hAnsi="Times New Roman" w:cs="Times New Roman"/>
          <w:color w:val="212529"/>
          <w:shd w:val="clear" w:color="auto" w:fill="FFFFFF"/>
        </w:rPr>
        <w:t>Leeva</w:t>
      </w:r>
      <w:proofErr w:type="spellEnd"/>
      <w:r w:rsidRPr="00C2478E">
        <w:rPr>
          <w:rFonts w:ascii="Times New Roman" w:hAnsi="Times New Roman" w:cs="Times New Roman"/>
          <w:color w:val="212529"/>
          <w:shd w:val="clear" w:color="auto" w:fill="FFFFFF"/>
        </w:rPr>
        <w:t xml:space="preserve"> C. Chung. </w:t>
      </w:r>
      <w:r w:rsidRPr="00C2478E">
        <w:rPr>
          <w:rStyle w:val="Emphasis"/>
          <w:rFonts w:ascii="Times New Roman" w:hAnsi="Times New Roman" w:cs="Times New Roman"/>
          <w:color w:val="212529"/>
          <w:shd w:val="clear" w:color="auto" w:fill="FFFFFF"/>
        </w:rPr>
        <w:t>Understanding Intercultural Communication</w:t>
      </w:r>
      <w:r w:rsidRPr="00C2478E">
        <w:rPr>
          <w:rFonts w:ascii="Times New Roman" w:hAnsi="Times New Roman" w:cs="Times New Roman"/>
          <w:color w:val="212529"/>
          <w:shd w:val="clear" w:color="auto" w:fill="FFFFFF"/>
        </w:rPr>
        <w:t>. 2nd ed. (New York: Oxford University Press, 2012),1</w:t>
      </w:r>
      <w:r>
        <w:rPr>
          <w:rFonts w:ascii="Times New Roman" w:hAnsi="Times New Roman" w:cs="Times New Roman"/>
          <w:color w:val="212529"/>
          <w:shd w:val="clear" w:color="auto" w:fill="FFFFFF"/>
        </w:rPr>
        <w:t>37</w:t>
      </w:r>
      <w:r w:rsidRPr="00C2478E">
        <w:rPr>
          <w:rFonts w:ascii="Times New Roman" w:hAnsi="Times New Roman" w:cs="Times New Roman"/>
          <w:color w:val="212529"/>
          <w:shd w:val="clear" w:color="auto" w:fill="FFFFFF"/>
        </w:rPr>
        <w:t>.</w:t>
      </w:r>
    </w:p>
  </w:footnote>
  <w:footnote w:id="2">
    <w:p w14:paraId="03FD548F" w14:textId="77777777" w:rsidR="00C24152" w:rsidRDefault="00C24152" w:rsidP="00C24152">
      <w:pPr>
        <w:pStyle w:val="FootnoteText"/>
        <w:spacing w:before="240"/>
        <w:ind w:firstLine="720"/>
      </w:pPr>
      <w:r>
        <w:rPr>
          <w:rStyle w:val="FootnoteReference"/>
        </w:rPr>
        <w:footnoteRef/>
      </w:r>
      <w:r>
        <w:t xml:space="preserve"> Ibid., 137.</w:t>
      </w:r>
    </w:p>
  </w:footnote>
  <w:footnote w:id="3">
    <w:p w14:paraId="3C78D095" w14:textId="77777777" w:rsidR="00C24152" w:rsidRDefault="00C24152" w:rsidP="00C24152">
      <w:pPr>
        <w:pStyle w:val="FootnoteText"/>
        <w:spacing w:before="240"/>
        <w:ind w:firstLine="720"/>
      </w:pPr>
      <w:r>
        <w:rPr>
          <w:rStyle w:val="FootnoteReference"/>
        </w:rPr>
        <w:footnoteRef/>
      </w:r>
      <w:r>
        <w:t xml:space="preserve"> </w:t>
      </w:r>
      <w:r w:rsidRPr="00C2478E">
        <w:rPr>
          <w:rFonts w:ascii="Times New Roman" w:hAnsi="Times New Roman" w:cs="Times New Roman"/>
        </w:rPr>
        <w:t>Melody Harper, “</w:t>
      </w:r>
      <w:r>
        <w:rPr>
          <w:rFonts w:ascii="Times New Roman" w:hAnsi="Times New Roman" w:cs="Times New Roman"/>
        </w:rPr>
        <w:t>Nonv</w:t>
      </w:r>
      <w:r w:rsidRPr="00C2478E">
        <w:rPr>
          <w:rFonts w:ascii="Times New Roman" w:hAnsi="Times New Roman" w:cs="Times New Roman"/>
        </w:rPr>
        <w:t xml:space="preserve">erbal Communication” (Course video in GLST 650 at Liberty University, Lynchburg, VA, June </w:t>
      </w:r>
      <w:r>
        <w:rPr>
          <w:rFonts w:ascii="Times New Roman" w:hAnsi="Times New Roman" w:cs="Times New Roman"/>
        </w:rPr>
        <w:t>23</w:t>
      </w:r>
      <w:r w:rsidRPr="00C2478E">
        <w:rPr>
          <w:rFonts w:ascii="Times New Roman" w:hAnsi="Times New Roman" w:cs="Times New Roman"/>
        </w:rPr>
        <w:t>, 2021).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A81"/>
    <w:rsid w:val="002878E2"/>
    <w:rsid w:val="003F2D8D"/>
    <w:rsid w:val="005F1A25"/>
    <w:rsid w:val="00803411"/>
    <w:rsid w:val="00834135"/>
    <w:rsid w:val="00905B89"/>
    <w:rsid w:val="00B63A81"/>
    <w:rsid w:val="00BB6B3C"/>
    <w:rsid w:val="00C24152"/>
    <w:rsid w:val="00CA7005"/>
    <w:rsid w:val="00CD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5281"/>
  <w15:chartTrackingRefBased/>
  <w15:docId w15:val="{83C8FD71-780A-46D0-94C7-E9D20502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63A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3A81"/>
    <w:rPr>
      <w:sz w:val="20"/>
      <w:szCs w:val="20"/>
    </w:rPr>
  </w:style>
  <w:style w:type="character" w:styleId="FootnoteReference">
    <w:name w:val="footnote reference"/>
    <w:basedOn w:val="DefaultParagraphFont"/>
    <w:uiPriority w:val="99"/>
    <w:semiHidden/>
    <w:unhideWhenUsed/>
    <w:rsid w:val="00B63A81"/>
    <w:rPr>
      <w:vertAlign w:val="superscript"/>
    </w:rPr>
  </w:style>
  <w:style w:type="character" w:styleId="Emphasis">
    <w:name w:val="Emphasis"/>
    <w:basedOn w:val="DefaultParagraphFont"/>
    <w:uiPriority w:val="20"/>
    <w:qFormat/>
    <w:rsid w:val="00B63A81"/>
    <w:rPr>
      <w:i/>
      <w:iCs/>
    </w:rPr>
  </w:style>
  <w:style w:type="paragraph" w:styleId="NormalWeb">
    <w:name w:val="Normal (Web)"/>
    <w:basedOn w:val="Normal"/>
    <w:uiPriority w:val="99"/>
    <w:semiHidden/>
    <w:unhideWhenUsed/>
    <w:rsid w:val="00CA70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70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27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F819294-505F-4863-8DF5-05620691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2692</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2021-06-24T21:50:00Z</dcterms:created>
  <dcterms:modified xsi:type="dcterms:W3CDTF">2021-06-27T12:55:00Z</dcterms:modified>
</cp:coreProperties>
</file>