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B18C2" w14:textId="77777777" w:rsidR="00E30A59" w:rsidRPr="00C231F0" w:rsidRDefault="00E30A59" w:rsidP="00E30A59">
      <w:pPr>
        <w:pStyle w:val="NormalWeb"/>
        <w:spacing w:before="0" w:beforeAutospacing="0" w:after="0" w:afterAutospacing="0"/>
        <w:rPr>
          <w:color w:val="0E101A"/>
        </w:rPr>
      </w:pPr>
      <w:r w:rsidRPr="00C231F0">
        <w:rPr>
          <w:color w:val="0E101A"/>
        </w:rPr>
        <w:t>Scott Stade,</w:t>
      </w:r>
    </w:p>
    <w:p w14:paraId="15018F6A" w14:textId="297EBACA" w:rsidR="00E30A59" w:rsidRPr="00C231F0" w:rsidRDefault="00E30A59" w:rsidP="00E30A59">
      <w:pPr>
        <w:pStyle w:val="NormalWeb"/>
        <w:spacing w:before="0" w:beforeAutospacing="0" w:after="0" w:afterAutospacing="0"/>
        <w:rPr>
          <w:color w:val="0E101A"/>
        </w:rPr>
      </w:pPr>
      <w:r w:rsidRPr="00C231F0">
        <w:rPr>
          <w:color w:val="0E101A"/>
        </w:rPr>
        <w:t>I enjoyed interacting with your thoughts. Thank you so much for a concise comparison and contrast of Martin Luther and John Calvin’s approaches to education. In my discussion, I chose these educators as well. One of the differences you captured well is the emphasis that John Calvin placed on the pastors, elders, and deacons in the work of teaching. While reading your post, I realized that actually, John Calvin was more focused on the means than the end. Because of that, he wanted teachers to be well equipped to handle the task. For instance, in one of his replies to </w:t>
      </w:r>
      <w:proofErr w:type="spellStart"/>
      <w:r w:rsidRPr="00C231F0">
        <w:rPr>
          <w:rStyle w:val="Emphasis"/>
          <w:i w:val="0"/>
          <w:iCs w:val="0"/>
          <w:color w:val="0E101A"/>
        </w:rPr>
        <w:t>Sadoleto’s</w:t>
      </w:r>
      <w:proofErr w:type="spellEnd"/>
      <w:r w:rsidRPr="00C231F0">
        <w:rPr>
          <w:rStyle w:val="Emphasis"/>
          <w:i w:val="0"/>
          <w:iCs w:val="0"/>
          <w:color w:val="0E101A"/>
        </w:rPr>
        <w:t xml:space="preserve"> Letter to the Genevans</w:t>
      </w:r>
      <w:r w:rsidRPr="00C231F0">
        <w:rPr>
          <w:rStyle w:val="Emphasis"/>
          <w:color w:val="0E101A"/>
        </w:rPr>
        <w:t>, </w:t>
      </w:r>
      <w:r w:rsidRPr="00C231F0">
        <w:rPr>
          <w:color w:val="0E101A"/>
        </w:rPr>
        <w:t xml:space="preserve">he says, “Those who were regarded as the leaders of the faith neither understood thy Word nor greatly cared for it. They drove unhappy people to and </w:t>
      </w:r>
      <w:proofErr w:type="spellStart"/>
      <w:r w:rsidRPr="00C231F0">
        <w:rPr>
          <w:color w:val="0E101A"/>
        </w:rPr>
        <w:t>fro</w:t>
      </w:r>
      <w:proofErr w:type="spellEnd"/>
      <w:r w:rsidRPr="00C231F0">
        <w:rPr>
          <w:color w:val="0E101A"/>
        </w:rPr>
        <w:t xml:space="preserve"> with strange doctrines, and deluded them with I know not what follies.”</w:t>
      </w:r>
      <w:r w:rsidRPr="00C231F0">
        <w:rPr>
          <w:rStyle w:val="FootnoteReference"/>
        </w:rPr>
        <w:t xml:space="preserve"> </w:t>
      </w:r>
      <w:r w:rsidRPr="00C231F0">
        <w:rPr>
          <w:rStyle w:val="FootnoteReference"/>
        </w:rPr>
        <w:footnoteReference w:id="1"/>
      </w:r>
      <w:r w:rsidRPr="00C231F0">
        <w:rPr>
          <w:color w:val="0E101A"/>
        </w:rPr>
        <w:t> In contrast, Martin Luther appears to emphasize the result. One can tell that his push for parents to teach children was not as much about equipping the parents as it was about raising children in the right way. For Martin Luther, raising children in the right way is what he regarded as perhaps “the end and chief purpose of marriage.</w:t>
      </w:r>
      <w:r w:rsidR="00C231F0" w:rsidRPr="00C231F0">
        <w:rPr>
          <w:rStyle w:val="FootnoteReference"/>
        </w:rPr>
        <w:footnoteReference w:id="2"/>
      </w:r>
    </w:p>
    <w:p w14:paraId="27FD221F" w14:textId="77777777" w:rsidR="00E30A59" w:rsidRPr="00C231F0" w:rsidRDefault="00E30A59">
      <w:pPr>
        <w:rPr>
          <w:rFonts w:ascii="Times New Roman" w:hAnsi="Times New Roman" w:cs="Times New Roman"/>
          <w:sz w:val="24"/>
          <w:szCs w:val="24"/>
        </w:rPr>
      </w:pPr>
    </w:p>
    <w:p w14:paraId="6237E872" w14:textId="24FE6A76" w:rsidR="00A3592F" w:rsidRPr="00C231F0" w:rsidRDefault="00C231F0">
      <w:pPr>
        <w:rPr>
          <w:rFonts w:ascii="Times New Roman" w:hAnsi="Times New Roman" w:cs="Times New Roman"/>
          <w:b/>
          <w:bCs/>
          <w:sz w:val="24"/>
          <w:szCs w:val="24"/>
        </w:rPr>
      </w:pPr>
      <w:r w:rsidRPr="00C231F0">
        <w:rPr>
          <w:rFonts w:ascii="Times New Roman" w:hAnsi="Times New Roman" w:cs="Times New Roman"/>
          <w:b/>
          <w:bCs/>
          <w:sz w:val="24"/>
          <w:szCs w:val="24"/>
        </w:rPr>
        <w:t>Bibliography</w:t>
      </w:r>
    </w:p>
    <w:p w14:paraId="7E73AEEA" w14:textId="48000B2F" w:rsidR="00C231F0" w:rsidRPr="00C231F0" w:rsidRDefault="00C231F0" w:rsidP="00C231F0">
      <w:pPr>
        <w:pStyle w:val="FootnoteText"/>
        <w:spacing w:before="240"/>
        <w:ind w:left="720" w:hanging="720"/>
        <w:rPr>
          <w:rFonts w:ascii="Times New Roman" w:hAnsi="Times New Roman" w:cs="Times New Roman"/>
          <w:sz w:val="24"/>
          <w:szCs w:val="24"/>
        </w:rPr>
      </w:pPr>
      <w:r w:rsidRPr="00C231F0">
        <w:rPr>
          <w:rFonts w:ascii="Times New Roman" w:hAnsi="Times New Roman" w:cs="Times New Roman"/>
          <w:sz w:val="24"/>
          <w:szCs w:val="24"/>
        </w:rPr>
        <w:t>Calvin</w:t>
      </w:r>
      <w:r w:rsidRPr="00C231F0">
        <w:rPr>
          <w:rFonts w:ascii="Times New Roman" w:hAnsi="Times New Roman" w:cs="Times New Roman"/>
          <w:sz w:val="24"/>
          <w:szCs w:val="24"/>
        </w:rPr>
        <w:t xml:space="preserve">, </w:t>
      </w:r>
      <w:r w:rsidRPr="00C231F0">
        <w:rPr>
          <w:rFonts w:ascii="Times New Roman" w:hAnsi="Times New Roman" w:cs="Times New Roman"/>
          <w:sz w:val="24"/>
          <w:szCs w:val="24"/>
        </w:rPr>
        <w:t xml:space="preserve">John and Jacob </w:t>
      </w:r>
      <w:proofErr w:type="spellStart"/>
      <w:r w:rsidRPr="00C231F0">
        <w:rPr>
          <w:rFonts w:ascii="Times New Roman" w:hAnsi="Times New Roman" w:cs="Times New Roman"/>
          <w:sz w:val="24"/>
          <w:szCs w:val="24"/>
        </w:rPr>
        <w:t>Sadoleto</w:t>
      </w:r>
      <w:proofErr w:type="spellEnd"/>
      <w:r w:rsidRPr="00C231F0">
        <w:rPr>
          <w:rFonts w:ascii="Times New Roman" w:hAnsi="Times New Roman" w:cs="Times New Roman"/>
          <w:sz w:val="24"/>
          <w:szCs w:val="24"/>
        </w:rPr>
        <w:t xml:space="preserve">, </w:t>
      </w:r>
      <w:r w:rsidRPr="00C231F0">
        <w:rPr>
          <w:rFonts w:ascii="Times New Roman" w:hAnsi="Times New Roman" w:cs="Times New Roman"/>
          <w:i/>
          <w:iCs/>
          <w:sz w:val="24"/>
          <w:szCs w:val="24"/>
        </w:rPr>
        <w:t xml:space="preserve">A Reformation Debate: </w:t>
      </w:r>
      <w:proofErr w:type="spellStart"/>
      <w:r w:rsidRPr="00C231F0">
        <w:rPr>
          <w:rFonts w:ascii="Times New Roman" w:hAnsi="Times New Roman" w:cs="Times New Roman"/>
          <w:i/>
          <w:iCs/>
          <w:sz w:val="24"/>
          <w:szCs w:val="24"/>
        </w:rPr>
        <w:t>Sadoleto’s</w:t>
      </w:r>
      <w:proofErr w:type="spellEnd"/>
      <w:r w:rsidRPr="00C231F0">
        <w:rPr>
          <w:rFonts w:ascii="Times New Roman" w:hAnsi="Times New Roman" w:cs="Times New Roman"/>
          <w:i/>
          <w:iCs/>
          <w:sz w:val="24"/>
          <w:szCs w:val="24"/>
        </w:rPr>
        <w:t xml:space="preserve"> Letter to the Genevans and Calvin’s Reply</w:t>
      </w:r>
      <w:r w:rsidRPr="00C231F0">
        <w:rPr>
          <w:rFonts w:ascii="Times New Roman" w:hAnsi="Times New Roman" w:cs="Times New Roman"/>
          <w:sz w:val="24"/>
          <w:szCs w:val="24"/>
        </w:rPr>
        <w:t>, ed. John C. Olin</w:t>
      </w:r>
      <w:r>
        <w:rPr>
          <w:rFonts w:ascii="Times New Roman" w:hAnsi="Times New Roman" w:cs="Times New Roman"/>
          <w:sz w:val="24"/>
          <w:szCs w:val="24"/>
        </w:rPr>
        <w:t xml:space="preserve">. </w:t>
      </w:r>
      <w:r w:rsidRPr="00C231F0">
        <w:rPr>
          <w:rFonts w:ascii="Times New Roman" w:hAnsi="Times New Roman" w:cs="Times New Roman"/>
          <w:sz w:val="24"/>
          <w:szCs w:val="24"/>
        </w:rPr>
        <w:t>Grand Rapids: Baker, 1976</w:t>
      </w:r>
      <w:r>
        <w:rPr>
          <w:rFonts w:ascii="Times New Roman" w:hAnsi="Times New Roman" w:cs="Times New Roman"/>
          <w:sz w:val="24"/>
          <w:szCs w:val="24"/>
        </w:rPr>
        <w:t>.</w:t>
      </w:r>
      <w:r w:rsidRPr="00C231F0">
        <w:rPr>
          <w:rFonts w:ascii="Times New Roman" w:hAnsi="Times New Roman" w:cs="Times New Roman"/>
          <w:sz w:val="24"/>
          <w:szCs w:val="24"/>
        </w:rPr>
        <w:t xml:space="preserve"> </w:t>
      </w:r>
    </w:p>
    <w:p w14:paraId="4F47004A" w14:textId="3322DEC4" w:rsidR="00C231F0" w:rsidRPr="00C231F0" w:rsidRDefault="00C231F0" w:rsidP="00C231F0">
      <w:pPr>
        <w:spacing w:before="240"/>
        <w:ind w:left="720" w:hanging="720"/>
        <w:rPr>
          <w:rFonts w:ascii="Times New Roman" w:hAnsi="Times New Roman" w:cs="Times New Roman"/>
          <w:sz w:val="24"/>
          <w:szCs w:val="24"/>
        </w:rPr>
      </w:pPr>
      <w:r w:rsidRPr="00C231F0">
        <w:rPr>
          <w:rFonts w:ascii="Times New Roman" w:hAnsi="Times New Roman" w:cs="Times New Roman"/>
          <w:color w:val="222222"/>
          <w:sz w:val="24"/>
          <w:szCs w:val="24"/>
          <w:shd w:val="clear" w:color="auto" w:fill="FFFFFF"/>
        </w:rPr>
        <w:t>Towns</w:t>
      </w:r>
      <w:r w:rsidRPr="00C231F0">
        <w:rPr>
          <w:rFonts w:ascii="Times New Roman" w:hAnsi="Times New Roman" w:cs="Times New Roman"/>
          <w:color w:val="222222"/>
          <w:sz w:val="24"/>
          <w:szCs w:val="24"/>
          <w:shd w:val="clear" w:color="auto" w:fill="FFFFFF"/>
        </w:rPr>
        <w:t xml:space="preserve">, </w:t>
      </w:r>
      <w:r w:rsidRPr="00C231F0">
        <w:rPr>
          <w:rFonts w:ascii="Times New Roman" w:hAnsi="Times New Roman" w:cs="Times New Roman"/>
          <w:color w:val="222222"/>
          <w:sz w:val="24"/>
          <w:szCs w:val="24"/>
          <w:shd w:val="clear" w:color="auto" w:fill="FFFFFF"/>
        </w:rPr>
        <w:t>Elmer L. and Benjamin K. Forrest</w:t>
      </w:r>
      <w:r w:rsidRPr="00C231F0">
        <w:rPr>
          <w:rStyle w:val="Emphasis"/>
          <w:rFonts w:ascii="Times New Roman" w:hAnsi="Times New Roman" w:cs="Times New Roman"/>
          <w:color w:val="222222"/>
          <w:sz w:val="24"/>
          <w:szCs w:val="24"/>
          <w:shd w:val="clear" w:color="auto" w:fill="FFFFFF"/>
        </w:rPr>
        <w:t>, A Legacy of Religious Educators: Historical and Theological Introductions</w:t>
      </w:r>
      <w:r>
        <w:rPr>
          <w:rStyle w:val="Emphasis"/>
          <w:rFonts w:ascii="Times New Roman" w:hAnsi="Times New Roman" w:cs="Times New Roman"/>
          <w:color w:val="222222"/>
          <w:sz w:val="24"/>
          <w:szCs w:val="24"/>
          <w:shd w:val="clear" w:color="auto" w:fill="FFFFFF"/>
        </w:rPr>
        <w:t xml:space="preserve">. </w:t>
      </w:r>
      <w:r w:rsidRPr="00C231F0">
        <w:rPr>
          <w:rFonts w:ascii="Times New Roman" w:hAnsi="Times New Roman" w:cs="Times New Roman"/>
          <w:color w:val="222222"/>
          <w:sz w:val="24"/>
          <w:szCs w:val="24"/>
          <w:shd w:val="clear" w:color="auto" w:fill="FFFFFF"/>
        </w:rPr>
        <w:t>Lynchburg, VA: Liberty University Press, 2018</w:t>
      </w:r>
      <w:r>
        <w:rPr>
          <w:rFonts w:ascii="Times New Roman" w:hAnsi="Times New Roman" w:cs="Times New Roman"/>
          <w:color w:val="222222"/>
          <w:sz w:val="24"/>
          <w:szCs w:val="24"/>
          <w:shd w:val="clear" w:color="auto" w:fill="FFFFFF"/>
        </w:rPr>
        <w:t>.</w:t>
      </w:r>
    </w:p>
    <w:sectPr w:rsidR="00C231F0" w:rsidRPr="00C231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D9AA0" w14:textId="77777777" w:rsidR="00C8623A" w:rsidRDefault="00C8623A" w:rsidP="00432525">
      <w:pPr>
        <w:spacing w:after="0" w:line="240" w:lineRule="auto"/>
      </w:pPr>
      <w:r>
        <w:separator/>
      </w:r>
    </w:p>
  </w:endnote>
  <w:endnote w:type="continuationSeparator" w:id="0">
    <w:p w14:paraId="4D20C7F0" w14:textId="77777777" w:rsidR="00C8623A" w:rsidRDefault="00C8623A" w:rsidP="0043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569CB" w14:textId="77777777" w:rsidR="00C8623A" w:rsidRDefault="00C8623A" w:rsidP="00432525">
      <w:pPr>
        <w:spacing w:after="0" w:line="240" w:lineRule="auto"/>
      </w:pPr>
      <w:r>
        <w:separator/>
      </w:r>
    </w:p>
  </w:footnote>
  <w:footnote w:type="continuationSeparator" w:id="0">
    <w:p w14:paraId="22631DD5" w14:textId="77777777" w:rsidR="00C8623A" w:rsidRDefault="00C8623A" w:rsidP="00432525">
      <w:pPr>
        <w:spacing w:after="0" w:line="240" w:lineRule="auto"/>
      </w:pPr>
      <w:r>
        <w:continuationSeparator/>
      </w:r>
    </w:p>
  </w:footnote>
  <w:footnote w:id="1">
    <w:p w14:paraId="2D0E7BE0" w14:textId="77777777" w:rsidR="00E30A59" w:rsidRDefault="00E30A59" w:rsidP="00E30A59">
      <w:pPr>
        <w:pStyle w:val="FootnoteText"/>
      </w:pPr>
      <w:r>
        <w:rPr>
          <w:rStyle w:val="FootnoteReference"/>
        </w:rPr>
        <w:footnoteRef/>
      </w:r>
      <w:r>
        <w:t xml:space="preserve"> </w:t>
      </w:r>
      <w:r w:rsidRPr="00432525">
        <w:t xml:space="preserve">John Calvin and Jacob </w:t>
      </w:r>
      <w:proofErr w:type="spellStart"/>
      <w:r w:rsidRPr="00432525">
        <w:t>Sadoleto</w:t>
      </w:r>
      <w:proofErr w:type="spellEnd"/>
      <w:r w:rsidRPr="00432525">
        <w:t xml:space="preserve">, </w:t>
      </w:r>
      <w:r w:rsidRPr="00432525">
        <w:rPr>
          <w:i/>
          <w:iCs/>
        </w:rPr>
        <w:t xml:space="preserve">A Reformation Debate: </w:t>
      </w:r>
      <w:proofErr w:type="spellStart"/>
      <w:r w:rsidRPr="00432525">
        <w:rPr>
          <w:i/>
          <w:iCs/>
        </w:rPr>
        <w:t>Sadoleto’s</w:t>
      </w:r>
      <w:proofErr w:type="spellEnd"/>
      <w:r w:rsidRPr="00432525">
        <w:rPr>
          <w:i/>
          <w:iCs/>
        </w:rPr>
        <w:t xml:space="preserve"> Letter to the Genevans and Calvin’s Reply</w:t>
      </w:r>
      <w:r w:rsidRPr="00432525">
        <w:t xml:space="preserve">, ed. John C. Olin (Grand Rapids: Baker, 1976), 82. </w:t>
      </w:r>
    </w:p>
  </w:footnote>
  <w:footnote w:id="2">
    <w:p w14:paraId="011E37C9" w14:textId="77777777" w:rsidR="00C231F0" w:rsidRDefault="00C231F0" w:rsidP="00C231F0">
      <w:pPr>
        <w:pStyle w:val="FootnoteText"/>
      </w:pPr>
      <w:r>
        <w:rPr>
          <w:rStyle w:val="FootnoteReference"/>
        </w:rPr>
        <w:footnoteRef/>
      </w:r>
      <w:r>
        <w:t xml:space="preserve"> </w:t>
      </w:r>
      <w:r>
        <w:rPr>
          <w:rFonts w:ascii="Roboto" w:hAnsi="Roboto"/>
          <w:color w:val="222222"/>
          <w:sz w:val="22"/>
          <w:szCs w:val="22"/>
          <w:shd w:val="clear" w:color="auto" w:fill="FFFFFF"/>
        </w:rPr>
        <w:t>Elmer L. Towns and Benjamin K. Forrest</w:t>
      </w:r>
      <w:r>
        <w:rPr>
          <w:rStyle w:val="Emphasis"/>
          <w:rFonts w:ascii="Roboto" w:hAnsi="Roboto"/>
          <w:color w:val="222222"/>
          <w:sz w:val="22"/>
          <w:szCs w:val="22"/>
          <w:shd w:val="clear" w:color="auto" w:fill="FFFFFF"/>
        </w:rPr>
        <w:t>, A Legacy of Religious Educators: Historical and Theological Introductions </w:t>
      </w:r>
      <w:r>
        <w:rPr>
          <w:rFonts w:ascii="Roboto" w:hAnsi="Roboto"/>
          <w:color w:val="222222"/>
          <w:sz w:val="22"/>
          <w:szCs w:val="22"/>
          <w:shd w:val="clear" w:color="auto" w:fill="FFFFFF"/>
        </w:rPr>
        <w:t>(Lynchburg, VA: Liberty University Press, 2018), 122.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92F"/>
    <w:rsid w:val="001D5588"/>
    <w:rsid w:val="002A1E8C"/>
    <w:rsid w:val="00432525"/>
    <w:rsid w:val="004E5F53"/>
    <w:rsid w:val="00A3592F"/>
    <w:rsid w:val="00C231F0"/>
    <w:rsid w:val="00C8623A"/>
    <w:rsid w:val="00D952E3"/>
    <w:rsid w:val="00E3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8861"/>
  <w15:chartTrackingRefBased/>
  <w15:docId w15:val="{AF285A0E-16B6-49CC-84AB-B1136142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25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2525"/>
    <w:rPr>
      <w:sz w:val="20"/>
      <w:szCs w:val="20"/>
    </w:rPr>
  </w:style>
  <w:style w:type="character" w:styleId="FootnoteReference">
    <w:name w:val="footnote reference"/>
    <w:basedOn w:val="DefaultParagraphFont"/>
    <w:uiPriority w:val="99"/>
    <w:semiHidden/>
    <w:unhideWhenUsed/>
    <w:rsid w:val="00432525"/>
    <w:rPr>
      <w:vertAlign w:val="superscript"/>
    </w:rPr>
  </w:style>
  <w:style w:type="character" w:styleId="Emphasis">
    <w:name w:val="Emphasis"/>
    <w:basedOn w:val="DefaultParagraphFont"/>
    <w:uiPriority w:val="20"/>
    <w:qFormat/>
    <w:rsid w:val="00D952E3"/>
    <w:rPr>
      <w:i/>
      <w:iCs/>
    </w:rPr>
  </w:style>
  <w:style w:type="paragraph" w:styleId="NormalWeb">
    <w:name w:val="Normal (Web)"/>
    <w:basedOn w:val="Normal"/>
    <w:uiPriority w:val="99"/>
    <w:semiHidden/>
    <w:unhideWhenUsed/>
    <w:rsid w:val="00E30A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30A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61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2021-08-15T20:37:00Z</dcterms:created>
  <dcterms:modified xsi:type="dcterms:W3CDTF">2021-08-15T23:20:00Z</dcterms:modified>
</cp:coreProperties>
</file>