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CF02F" w14:textId="7F0606A5" w:rsidR="00D23EF8" w:rsidRDefault="00D23EF8" w:rsidP="00D23EF8">
      <w:pPr>
        <w:pStyle w:val="NormalWeb"/>
        <w:spacing w:before="0" w:beforeAutospacing="0" w:after="0" w:afterAutospacing="0"/>
        <w:rPr>
          <w:color w:val="0E101A"/>
        </w:rPr>
      </w:pPr>
      <w:r>
        <w:rPr>
          <w:color w:val="0E101A"/>
        </w:rPr>
        <w:t>Following the presentation in Module 6: Week 6, “Zwingli’s Theology of Preaching as an Example,” I have chosen to compare and contrast how Martin Luther and John Calvin approached the task of grounding their educational endeavors in a robust, theological framework. First and foremost, both Martin Luther and John Calvin approached the task of grounding their education</w:t>
      </w:r>
      <w:r>
        <w:rPr>
          <w:color w:val="0E101A"/>
        </w:rPr>
        <w:t>al</w:t>
      </w:r>
      <w:r>
        <w:rPr>
          <w:color w:val="0E101A"/>
        </w:rPr>
        <w:t xml:space="preserve"> endeavors on the supremacy of Holy Scripture. </w:t>
      </w:r>
      <w:r>
        <w:rPr>
          <w:color w:val="0E101A"/>
        </w:rPr>
        <w:t>Arguably, this was the most</w:t>
      </w:r>
      <w:r>
        <w:rPr>
          <w:color w:val="0E101A"/>
        </w:rPr>
        <w:t xml:space="preserve"> </w:t>
      </w:r>
      <w:r>
        <w:rPr>
          <w:color w:val="0E101A"/>
        </w:rPr>
        <w:t xml:space="preserve">remarkable </w:t>
      </w:r>
      <w:r>
        <w:rPr>
          <w:color w:val="0E101A"/>
        </w:rPr>
        <w:t>feature of Martin Luther</w:t>
      </w:r>
      <w:r>
        <w:rPr>
          <w:color w:val="0E101A"/>
        </w:rPr>
        <w:t>’s</w:t>
      </w:r>
      <w:r>
        <w:rPr>
          <w:color w:val="0E101A"/>
        </w:rPr>
        <w:t xml:space="preserve"> </w:t>
      </w:r>
      <w:r>
        <w:rPr>
          <w:color w:val="0E101A"/>
        </w:rPr>
        <w:t>transition away</w:t>
      </w:r>
      <w:r>
        <w:rPr>
          <w:color w:val="0E101A"/>
        </w:rPr>
        <w:t xml:space="preserve"> from the traditional Medieval fourfold method towards a “new hermeneutic.</w:t>
      </w:r>
      <w:r>
        <w:rPr>
          <w:rStyle w:val="FootnoteReference"/>
        </w:rPr>
        <w:footnoteReference w:id="1"/>
      </w:r>
      <w:r>
        <w:rPr>
          <w:color w:val="0E101A"/>
        </w:rPr>
        <w:t xml:space="preserve"> Luther and his near-contemporary John Calvin began their ministries when traditions in the Roman Catholic </w:t>
      </w:r>
      <w:r>
        <w:rPr>
          <w:color w:val="0E101A"/>
        </w:rPr>
        <w:t xml:space="preserve">were </w:t>
      </w:r>
      <w:r>
        <w:rPr>
          <w:color w:val="0E101A"/>
        </w:rPr>
        <w:t>often regarded more than scriptures. These traditions</w:t>
      </w:r>
      <w:r w:rsidR="00C43286">
        <w:rPr>
          <w:color w:val="0E101A"/>
        </w:rPr>
        <w:t xml:space="preserve"> had</w:t>
      </w:r>
      <w:r>
        <w:rPr>
          <w:color w:val="0E101A"/>
        </w:rPr>
        <w:t xml:space="preserve"> </w:t>
      </w:r>
      <w:r w:rsidR="00C43286">
        <w:rPr>
          <w:color w:val="0E101A"/>
        </w:rPr>
        <w:t>proved</w:t>
      </w:r>
      <w:r>
        <w:rPr>
          <w:color w:val="0E101A"/>
        </w:rPr>
        <w:t xml:space="preserve"> counterproductive as they inhibited everyone from reading scriptures for themselves</w:t>
      </w:r>
      <w:r w:rsidR="00C43286">
        <w:rPr>
          <w:color w:val="0E101A"/>
        </w:rPr>
        <w:t xml:space="preserve">. </w:t>
      </w:r>
      <w:r>
        <w:rPr>
          <w:color w:val="0E101A"/>
        </w:rPr>
        <w:t>Martin Luther’s </w:t>
      </w:r>
      <w:r>
        <w:rPr>
          <w:rStyle w:val="Emphasis"/>
          <w:color w:val="0E101A"/>
        </w:rPr>
        <w:t>Sola Scriptura</w:t>
      </w:r>
      <w:r>
        <w:rPr>
          <w:color w:val="0E101A"/>
        </w:rPr>
        <w:t> brought a new dimension to studying the Bible. He argued the Bible had authority over the papacy, the church, or any other rituals. Furthermore, he postulated, "Above all, the foremost reading for everybody, both in the universities and in the schools, should be Holy Scripture.</w:t>
      </w:r>
      <w:r>
        <w:rPr>
          <w:rStyle w:val="FootnoteReference"/>
        </w:rPr>
        <w:footnoteReference w:id="2"/>
      </w:r>
      <w:r>
        <w:rPr>
          <w:color w:val="0E101A"/>
        </w:rPr>
        <w:t> In almost similar words, John Calvin argued that the church must treat the Word of God as the primary textbook.</w:t>
      </w:r>
      <w:r>
        <w:rPr>
          <w:rStyle w:val="FootnoteReference"/>
        </w:rPr>
        <w:footnoteReference w:id="3"/>
      </w:r>
    </w:p>
    <w:p w14:paraId="417705DA" w14:textId="362C3655" w:rsidR="00D23EF8" w:rsidRDefault="00D23EF8" w:rsidP="00D23EF8">
      <w:pPr>
        <w:pStyle w:val="NormalWeb"/>
        <w:spacing w:before="0" w:beforeAutospacing="0" w:after="0" w:afterAutospacing="0"/>
        <w:rPr>
          <w:color w:val="0E101A"/>
        </w:rPr>
      </w:pPr>
      <w:r>
        <w:rPr>
          <w:color w:val="0E101A"/>
        </w:rPr>
        <w:t>Another comparison is that both Martin Luther and John Calvin, though they lived during a period when education was a reserve of the wealthy, argued for compulsory education for all. Luther encouraged parents to be teachers so that they could teach their children at home. In addition, he advocated that it was the duty of the government to compel its young, especially the exceptional ones, to remain in school.</w:t>
      </w:r>
      <w:r>
        <w:rPr>
          <w:rStyle w:val="FootnoteReference"/>
        </w:rPr>
        <w:footnoteReference w:id="4"/>
      </w:r>
      <w:r>
        <w:rPr>
          <w:color w:val="0E101A"/>
        </w:rPr>
        <w:t> John Calvin similarly thought that parents should learn so that they can teach children the correct doctrine.</w:t>
      </w:r>
      <w:r>
        <w:rPr>
          <w:rStyle w:val="FootnoteReference"/>
        </w:rPr>
        <w:footnoteReference w:id="5"/>
      </w:r>
      <w:r>
        <w:rPr>
          <w:color w:val="0E101A"/>
        </w:rPr>
        <w:t> He firmly believed that young people were the future ministers, and so they needed to learn theology. Like Martin Luther, he wanted everyone to have an opportunity to read the Bible for themselves.</w:t>
      </w:r>
      <w:r>
        <w:rPr>
          <w:rStyle w:val="FootnoteReference"/>
        </w:rPr>
        <w:footnoteReference w:id="6"/>
      </w:r>
    </w:p>
    <w:p w14:paraId="0E2860AD" w14:textId="0B9ABCB2" w:rsidR="00D23EF8" w:rsidRDefault="00D23EF8" w:rsidP="00D23EF8">
      <w:pPr>
        <w:pStyle w:val="NormalWeb"/>
        <w:spacing w:before="0" w:beforeAutospacing="0" w:after="0" w:afterAutospacing="0"/>
        <w:rPr>
          <w:color w:val="0E101A"/>
        </w:rPr>
      </w:pPr>
      <w:r>
        <w:rPr>
          <w:color w:val="0E101A"/>
        </w:rPr>
        <w:t>One of the differences between Martin and Calvin's approaches to education is how they sought support for their educational endeavors. Martin Luther sought help from the princes and government officials. In Contrast, Calvin sought help from the mercantile. Another contrast is in the manner in which the two taught. For Calvin, the emphasis was on brevity on the teacher’s part. Calvin believed brevity was a mark of clarity and effectiveness in teaching.</w:t>
      </w:r>
      <w:r>
        <w:rPr>
          <w:rStyle w:val="FootnoteReference"/>
        </w:rPr>
        <w:footnoteReference w:id="7"/>
      </w:r>
      <w:r>
        <w:rPr>
          <w:color w:val="0E101A"/>
        </w:rPr>
        <w:t> </w:t>
      </w:r>
      <w:r w:rsidR="00C43286">
        <w:rPr>
          <w:color w:val="0E101A"/>
        </w:rPr>
        <w:t>O</w:t>
      </w:r>
      <w:r>
        <w:rPr>
          <w:color w:val="0E101A"/>
        </w:rPr>
        <w:t>n the other hand,</w:t>
      </w:r>
      <w:r w:rsidR="00C43286">
        <w:rPr>
          <w:color w:val="0E101A"/>
        </w:rPr>
        <w:t xml:space="preserve"> Luther’s</w:t>
      </w:r>
      <w:r>
        <w:rPr>
          <w:color w:val="0E101A"/>
        </w:rPr>
        <w:t xml:space="preserve"> emphasis was on simplicity. For the teacher to be understood, he needed to use simple language. As a result, he translated the Bible from Latin (the language of Scholars) and into German (the language of ordinary people).</w:t>
      </w:r>
    </w:p>
    <w:p w14:paraId="18DD11B1" w14:textId="77777777" w:rsidR="00D23EF8" w:rsidRDefault="00D23EF8"/>
    <w:p w14:paraId="3686A061" w14:textId="77777777" w:rsidR="00D23EF8" w:rsidRDefault="00D23EF8"/>
    <w:p w14:paraId="5A49E70F" w14:textId="2B2B3510" w:rsidR="00117D6D" w:rsidRDefault="00117D6D">
      <w:r>
        <w:t>Bibliography</w:t>
      </w:r>
    </w:p>
    <w:p w14:paraId="63E56860" w14:textId="62277F04" w:rsidR="00BF3D3C" w:rsidRDefault="00117D6D">
      <w:r w:rsidRPr="00117D6D">
        <w:lastRenderedPageBreak/>
        <w:t xml:space="preserve"> Towns</w:t>
      </w:r>
      <w:r>
        <w:t>,</w:t>
      </w:r>
      <w:r w:rsidRPr="00117D6D">
        <w:t xml:space="preserve"> Elmer L. and Benjamin K. Forrest</w:t>
      </w:r>
      <w:r w:rsidRPr="00117D6D">
        <w:rPr>
          <w:i/>
          <w:iCs/>
        </w:rPr>
        <w:t>. A Legacy of Religious Educators: Historical and Theological Introductions.</w:t>
      </w:r>
      <w:r w:rsidRPr="00117D6D">
        <w:t xml:space="preserve"> </w:t>
      </w:r>
      <w:r>
        <w:t>Lynchburg, VA: Liberty University Press, 2018.</w:t>
      </w:r>
    </w:p>
    <w:sectPr w:rsidR="00BF3D3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92A38" w14:textId="77777777" w:rsidR="003F78D1" w:rsidRDefault="003F78D1" w:rsidP="00BF3D3C">
      <w:pPr>
        <w:spacing w:after="0" w:line="240" w:lineRule="auto"/>
      </w:pPr>
      <w:r>
        <w:separator/>
      </w:r>
    </w:p>
  </w:endnote>
  <w:endnote w:type="continuationSeparator" w:id="0">
    <w:p w14:paraId="531F9AD2" w14:textId="77777777" w:rsidR="003F78D1" w:rsidRDefault="003F78D1" w:rsidP="00BF3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ABF04" w14:textId="77777777" w:rsidR="003F78D1" w:rsidRDefault="003F78D1" w:rsidP="00BF3D3C">
      <w:pPr>
        <w:spacing w:after="0" w:line="240" w:lineRule="auto"/>
      </w:pPr>
      <w:r>
        <w:separator/>
      </w:r>
    </w:p>
  </w:footnote>
  <w:footnote w:type="continuationSeparator" w:id="0">
    <w:p w14:paraId="3A196B71" w14:textId="77777777" w:rsidR="003F78D1" w:rsidRDefault="003F78D1" w:rsidP="00BF3D3C">
      <w:pPr>
        <w:spacing w:after="0" w:line="240" w:lineRule="auto"/>
      </w:pPr>
      <w:r>
        <w:continuationSeparator/>
      </w:r>
    </w:p>
  </w:footnote>
  <w:footnote w:id="1">
    <w:p w14:paraId="121FBD70" w14:textId="77777777" w:rsidR="00D23EF8" w:rsidRDefault="00D23EF8" w:rsidP="00D23EF8">
      <w:pPr>
        <w:spacing w:before="240"/>
      </w:pPr>
      <w:r>
        <w:rPr>
          <w:rStyle w:val="FootnoteReference"/>
        </w:rPr>
        <w:footnoteRef/>
      </w:r>
      <w:r>
        <w:t xml:space="preserve"> </w:t>
      </w:r>
      <w:r w:rsidRPr="00117D6D">
        <w:t>Elmer L. Towns</w:t>
      </w:r>
      <w:r>
        <w:t xml:space="preserve"> </w:t>
      </w:r>
      <w:r w:rsidRPr="00117D6D">
        <w:t>and Benjamin K. Forrest</w:t>
      </w:r>
      <w:r>
        <w:rPr>
          <w:i/>
          <w:iCs/>
        </w:rPr>
        <w:t xml:space="preserve">, </w:t>
      </w:r>
      <w:r w:rsidRPr="00117D6D">
        <w:rPr>
          <w:i/>
          <w:iCs/>
        </w:rPr>
        <w:t>A Legacy of Religious Educators: Historical and Theological Introductions</w:t>
      </w:r>
      <w:r>
        <w:rPr>
          <w:i/>
          <w:iCs/>
        </w:rPr>
        <w:t xml:space="preserve"> </w:t>
      </w:r>
      <w:r>
        <w:t>(Lynchburg, VA: Liberty University Press, 2018), 130.</w:t>
      </w:r>
    </w:p>
  </w:footnote>
  <w:footnote w:id="2">
    <w:p w14:paraId="0B3FED89" w14:textId="77777777" w:rsidR="00D23EF8" w:rsidRDefault="00D23EF8" w:rsidP="00D23EF8">
      <w:pPr>
        <w:pStyle w:val="FootnoteText"/>
      </w:pPr>
      <w:r>
        <w:rPr>
          <w:rStyle w:val="FootnoteReference"/>
        </w:rPr>
        <w:footnoteRef/>
      </w:r>
      <w:r>
        <w:t xml:space="preserve"> Ibid., 119.</w:t>
      </w:r>
    </w:p>
  </w:footnote>
  <w:footnote w:id="3">
    <w:p w14:paraId="170DF526" w14:textId="77777777" w:rsidR="00D23EF8" w:rsidRDefault="00D23EF8" w:rsidP="00D23EF8">
      <w:pPr>
        <w:pStyle w:val="FootnoteText"/>
      </w:pPr>
      <w:r>
        <w:rPr>
          <w:rStyle w:val="FootnoteReference"/>
        </w:rPr>
        <w:footnoteRef/>
      </w:r>
      <w:r>
        <w:t xml:space="preserve"> Ibid., 193.</w:t>
      </w:r>
    </w:p>
  </w:footnote>
  <w:footnote w:id="4">
    <w:p w14:paraId="35E49F3F" w14:textId="77777777" w:rsidR="00D23EF8" w:rsidRDefault="00D23EF8" w:rsidP="00D23EF8">
      <w:pPr>
        <w:pStyle w:val="FootnoteText"/>
      </w:pPr>
      <w:r>
        <w:rPr>
          <w:rStyle w:val="FootnoteReference"/>
        </w:rPr>
        <w:footnoteRef/>
      </w:r>
      <w:r>
        <w:t xml:space="preserve"> Ibid., 130.</w:t>
      </w:r>
    </w:p>
  </w:footnote>
  <w:footnote w:id="5">
    <w:p w14:paraId="0DC45D91" w14:textId="77777777" w:rsidR="00D23EF8" w:rsidRDefault="00D23EF8" w:rsidP="00D23EF8">
      <w:pPr>
        <w:pStyle w:val="FootnoteText"/>
      </w:pPr>
      <w:r>
        <w:rPr>
          <w:rStyle w:val="FootnoteReference"/>
        </w:rPr>
        <w:footnoteRef/>
      </w:r>
      <w:r>
        <w:t xml:space="preserve"> Ibid., 196.</w:t>
      </w:r>
    </w:p>
  </w:footnote>
  <w:footnote w:id="6">
    <w:p w14:paraId="3730E09D" w14:textId="77777777" w:rsidR="00D23EF8" w:rsidRDefault="00D23EF8" w:rsidP="00D23EF8">
      <w:pPr>
        <w:pStyle w:val="FootnoteText"/>
      </w:pPr>
      <w:r>
        <w:rPr>
          <w:rStyle w:val="FootnoteReference"/>
        </w:rPr>
        <w:footnoteRef/>
      </w:r>
      <w:r>
        <w:rPr>
          <w:rStyle w:val="FootnoteReference"/>
        </w:rPr>
        <w:footnoteRef/>
      </w:r>
      <w:r>
        <w:t xml:space="preserve"> Ibid., 198.</w:t>
      </w:r>
    </w:p>
  </w:footnote>
  <w:footnote w:id="7">
    <w:p w14:paraId="15E4772B" w14:textId="77777777" w:rsidR="00D23EF8" w:rsidRDefault="00D23EF8" w:rsidP="00D23EF8">
      <w:pPr>
        <w:pStyle w:val="FootnoteText"/>
      </w:pPr>
      <w:r>
        <w:rPr>
          <w:rStyle w:val="FootnoteReference"/>
        </w:rPr>
        <w:footnoteRef/>
      </w:r>
      <w:r>
        <w:t xml:space="preserve"> Ibid., 194.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D3C"/>
    <w:rsid w:val="00117D6D"/>
    <w:rsid w:val="002813D2"/>
    <w:rsid w:val="00297E69"/>
    <w:rsid w:val="002F5D59"/>
    <w:rsid w:val="0030633D"/>
    <w:rsid w:val="003643BF"/>
    <w:rsid w:val="003F78D1"/>
    <w:rsid w:val="00461AFC"/>
    <w:rsid w:val="004F55CA"/>
    <w:rsid w:val="006350C5"/>
    <w:rsid w:val="006535CD"/>
    <w:rsid w:val="00812D1D"/>
    <w:rsid w:val="008F1A5D"/>
    <w:rsid w:val="00A27828"/>
    <w:rsid w:val="00AD48B4"/>
    <w:rsid w:val="00AF6C50"/>
    <w:rsid w:val="00B5263B"/>
    <w:rsid w:val="00B962CE"/>
    <w:rsid w:val="00BF3D3C"/>
    <w:rsid w:val="00C43286"/>
    <w:rsid w:val="00D23EF8"/>
    <w:rsid w:val="00E435DB"/>
    <w:rsid w:val="00F95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3FC35"/>
  <w15:chartTrackingRefBased/>
  <w15:docId w15:val="{59D243AC-8DE2-43DE-A77C-AE2BD6BBE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F3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3D3C"/>
    <w:rPr>
      <w:sz w:val="20"/>
      <w:szCs w:val="20"/>
    </w:rPr>
  </w:style>
  <w:style w:type="character" w:styleId="FootnoteReference">
    <w:name w:val="footnote reference"/>
    <w:basedOn w:val="DefaultParagraphFont"/>
    <w:uiPriority w:val="99"/>
    <w:semiHidden/>
    <w:unhideWhenUsed/>
    <w:rsid w:val="00BF3D3C"/>
    <w:rPr>
      <w:vertAlign w:val="superscript"/>
    </w:rPr>
  </w:style>
  <w:style w:type="character" w:styleId="Hyperlink">
    <w:name w:val="Hyperlink"/>
    <w:basedOn w:val="DefaultParagraphFont"/>
    <w:uiPriority w:val="99"/>
    <w:unhideWhenUsed/>
    <w:rsid w:val="006350C5"/>
    <w:rPr>
      <w:color w:val="0563C1" w:themeColor="hyperlink"/>
      <w:u w:val="single"/>
    </w:rPr>
  </w:style>
  <w:style w:type="character" w:styleId="UnresolvedMention">
    <w:name w:val="Unresolved Mention"/>
    <w:basedOn w:val="DefaultParagraphFont"/>
    <w:uiPriority w:val="99"/>
    <w:semiHidden/>
    <w:unhideWhenUsed/>
    <w:rsid w:val="006350C5"/>
    <w:rPr>
      <w:color w:val="605E5C"/>
      <w:shd w:val="clear" w:color="auto" w:fill="E1DFDD"/>
    </w:rPr>
  </w:style>
  <w:style w:type="paragraph" w:styleId="NormalWeb">
    <w:name w:val="Normal (Web)"/>
    <w:basedOn w:val="Normal"/>
    <w:uiPriority w:val="99"/>
    <w:semiHidden/>
    <w:unhideWhenUsed/>
    <w:rsid w:val="00D23EF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23E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68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BF87F20-5011-408C-949D-A1C1DF58C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2021-08-07T22:12:00Z</dcterms:created>
  <dcterms:modified xsi:type="dcterms:W3CDTF">2021-08-08T13:19:00Z</dcterms:modified>
</cp:coreProperties>
</file>