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p>
    <w:p w14:paraId="071200D8" w14:textId="77777777" w:rsidR="00DF7AA0" w:rsidRPr="00872F9C" w:rsidRDefault="00DF7AA0" w:rsidP="00DF7AA0">
      <w:pPr>
        <w:jc w:val="center"/>
        <w:rPr>
          <w:rFonts w:cs="Times New Roman"/>
          <w:szCs w:val="24"/>
        </w:rPr>
      </w:pPr>
      <w:r w:rsidRPr="00872F9C">
        <w:rPr>
          <w:rFonts w:cs="Times New Roman"/>
          <w:szCs w:val="24"/>
        </w:rPr>
        <w:t>LIBERTY UNIVERSITY</w:t>
      </w:r>
    </w:p>
    <w:p w14:paraId="58B72234" w14:textId="77777777" w:rsidR="00DF7AA0" w:rsidRPr="00872F9C" w:rsidRDefault="00DF7AA0" w:rsidP="00DF7AA0">
      <w:pPr>
        <w:jc w:val="center"/>
        <w:rPr>
          <w:rFonts w:cs="Times New Roman"/>
          <w:szCs w:val="24"/>
        </w:rPr>
      </w:pPr>
      <w:r w:rsidRPr="00872F9C">
        <w:rPr>
          <w:rFonts w:cs="Times New Roman"/>
          <w:szCs w:val="24"/>
        </w:rPr>
        <w:t xml:space="preserve">JOHN W. RAWLINGS SCHOOL OF DIVINITY </w:t>
      </w:r>
    </w:p>
    <w:p w14:paraId="04A80687" w14:textId="77777777" w:rsidR="00DF7AA0" w:rsidRPr="00872F9C" w:rsidRDefault="00DF7AA0" w:rsidP="00DF7AA0">
      <w:pPr>
        <w:jc w:val="center"/>
        <w:rPr>
          <w:rFonts w:cs="Times New Roman"/>
          <w:szCs w:val="24"/>
        </w:rPr>
      </w:pPr>
    </w:p>
    <w:p w14:paraId="3D0F1028" w14:textId="77777777" w:rsidR="00DF7AA0" w:rsidRPr="00872F9C" w:rsidRDefault="00DF7AA0" w:rsidP="00DF7AA0">
      <w:pPr>
        <w:rPr>
          <w:rFonts w:cs="Times New Roman"/>
          <w:szCs w:val="24"/>
        </w:rPr>
      </w:pPr>
    </w:p>
    <w:p w14:paraId="05EBA155" w14:textId="12E532ED" w:rsidR="00DF7AA0" w:rsidRPr="00872F9C" w:rsidRDefault="00034FB7" w:rsidP="00DF7AA0">
      <w:pPr>
        <w:jc w:val="center"/>
        <w:rPr>
          <w:rFonts w:cs="Times New Roman"/>
          <w:b/>
          <w:bCs/>
          <w:szCs w:val="24"/>
        </w:rPr>
      </w:pPr>
      <w:r>
        <w:rPr>
          <w:rFonts w:cs="Times New Roman"/>
          <w:b/>
          <w:bCs/>
          <w:szCs w:val="24"/>
        </w:rPr>
        <w:t>Book Critique</w:t>
      </w:r>
      <w:r w:rsidR="00DF7AA0">
        <w:rPr>
          <w:rFonts w:cs="Times New Roman"/>
          <w:b/>
          <w:bCs/>
          <w:szCs w:val="24"/>
        </w:rPr>
        <w:t xml:space="preserve"> Assignment</w:t>
      </w:r>
    </w:p>
    <w:p w14:paraId="3B98E257" w14:textId="77777777" w:rsidR="00DF7AA0" w:rsidRPr="00872F9C" w:rsidRDefault="00DF7AA0" w:rsidP="00DF7AA0">
      <w:pPr>
        <w:rPr>
          <w:rFonts w:cs="Times New Roman"/>
          <w:szCs w:val="24"/>
        </w:rPr>
      </w:pPr>
    </w:p>
    <w:p w14:paraId="733000BD" w14:textId="77777777" w:rsidR="00DF7AA0" w:rsidRPr="00872F9C" w:rsidRDefault="00DF7AA0" w:rsidP="00DF7AA0">
      <w:pPr>
        <w:rPr>
          <w:rFonts w:cs="Times New Roman"/>
          <w:szCs w:val="24"/>
        </w:rPr>
      </w:pPr>
    </w:p>
    <w:p w14:paraId="13994A66" w14:textId="4043DF7C" w:rsidR="00DF7AA0" w:rsidRPr="00872F9C" w:rsidRDefault="00DF7AA0" w:rsidP="00DF7AA0">
      <w:pPr>
        <w:jc w:val="center"/>
        <w:rPr>
          <w:rFonts w:cs="Times New Roman"/>
          <w:szCs w:val="24"/>
        </w:rPr>
      </w:pPr>
      <w:r w:rsidRPr="00872F9C">
        <w:rPr>
          <w:rFonts w:cs="Times New Roman"/>
          <w:szCs w:val="24"/>
        </w:rPr>
        <w:t xml:space="preserve">Submitted to </w:t>
      </w:r>
      <w:r w:rsidR="00034FB7">
        <w:rPr>
          <w:rFonts w:cs="Times New Roman"/>
          <w:szCs w:val="24"/>
        </w:rPr>
        <w:t xml:space="preserve">Dr </w:t>
      </w:r>
      <w:r w:rsidR="00034FB7" w:rsidRPr="00034FB7">
        <w:rPr>
          <w:rFonts w:cs="Times New Roman"/>
          <w:szCs w:val="24"/>
        </w:rPr>
        <w:t>Myron Kauk</w:t>
      </w:r>
    </w:p>
    <w:p w14:paraId="7AC7E8B8" w14:textId="77777777" w:rsidR="00DF7AA0" w:rsidRPr="00872F9C" w:rsidRDefault="00DF7AA0" w:rsidP="00DF7AA0">
      <w:pPr>
        <w:jc w:val="center"/>
        <w:rPr>
          <w:rFonts w:cs="Times New Roman"/>
          <w:szCs w:val="24"/>
        </w:rPr>
      </w:pPr>
      <w:r w:rsidRPr="00872F9C">
        <w:rPr>
          <w:rFonts w:cs="Times New Roman"/>
          <w:szCs w:val="24"/>
        </w:rPr>
        <w:t xml:space="preserve">in partial fulfillment of the requirements for the completion of </w:t>
      </w:r>
    </w:p>
    <w:p w14:paraId="6237C77D" w14:textId="77777777" w:rsidR="00DF7AA0" w:rsidRPr="00872F9C" w:rsidRDefault="00DF7AA0" w:rsidP="00DF7AA0">
      <w:pPr>
        <w:jc w:val="center"/>
        <w:rPr>
          <w:rFonts w:cs="Times New Roman"/>
          <w:szCs w:val="24"/>
        </w:rPr>
      </w:pPr>
    </w:p>
    <w:p w14:paraId="10ECEEF0" w14:textId="77777777" w:rsidR="00DF7AA0" w:rsidRPr="00872F9C" w:rsidRDefault="00DF7AA0" w:rsidP="00DF7AA0">
      <w:pPr>
        <w:jc w:val="center"/>
        <w:rPr>
          <w:rFonts w:cs="Times New Roman"/>
          <w:szCs w:val="24"/>
        </w:rPr>
      </w:pPr>
    </w:p>
    <w:p w14:paraId="6C972F92" w14:textId="4C49CB38" w:rsidR="00DF7AA0" w:rsidRPr="00872F9C" w:rsidRDefault="00702616" w:rsidP="00DF7AA0">
      <w:pPr>
        <w:jc w:val="center"/>
        <w:rPr>
          <w:rFonts w:cs="Times New Roman"/>
          <w:szCs w:val="24"/>
        </w:rPr>
      </w:pPr>
      <w:r>
        <w:rPr>
          <w:rFonts w:cs="Times New Roman"/>
          <w:szCs w:val="24"/>
        </w:rPr>
        <w:t>NBST 61</w:t>
      </w:r>
      <w:r w:rsidR="00034FB7">
        <w:rPr>
          <w:rFonts w:cs="Times New Roman"/>
          <w:szCs w:val="24"/>
        </w:rPr>
        <w:t>0-D03</w:t>
      </w:r>
    </w:p>
    <w:p w14:paraId="7F08F1B1" w14:textId="2A7A69D3" w:rsidR="00DF7AA0" w:rsidRPr="00872F9C" w:rsidRDefault="00034FB7" w:rsidP="00DF7AA0">
      <w:pPr>
        <w:jc w:val="center"/>
        <w:rPr>
          <w:rFonts w:cs="Times New Roman"/>
          <w:szCs w:val="24"/>
        </w:rPr>
      </w:pPr>
      <w:r>
        <w:rPr>
          <w:rFonts w:cs="Times New Roman"/>
          <w:szCs w:val="24"/>
        </w:rPr>
        <w:t>Hermeneutics</w:t>
      </w:r>
    </w:p>
    <w:p w14:paraId="152D04AC" w14:textId="77777777" w:rsidR="00DF7AA0" w:rsidRPr="00872F9C" w:rsidRDefault="00DF7AA0" w:rsidP="00DF7AA0">
      <w:pPr>
        <w:jc w:val="center"/>
        <w:rPr>
          <w:rFonts w:cs="Times New Roman"/>
          <w:szCs w:val="24"/>
        </w:rPr>
      </w:pPr>
    </w:p>
    <w:p w14:paraId="7B18E737" w14:textId="77777777" w:rsidR="00DF7AA0" w:rsidRPr="00872F9C" w:rsidRDefault="00DF7AA0" w:rsidP="00DF7AA0">
      <w:pPr>
        <w:jc w:val="center"/>
        <w:rPr>
          <w:rFonts w:cs="Times New Roman"/>
          <w:szCs w:val="24"/>
        </w:rPr>
      </w:pPr>
    </w:p>
    <w:p w14:paraId="056B13AF" w14:textId="77777777" w:rsidR="00DF7AA0" w:rsidRPr="00872F9C" w:rsidRDefault="00DF7AA0" w:rsidP="00DF7AA0">
      <w:pPr>
        <w:jc w:val="center"/>
        <w:rPr>
          <w:rFonts w:cs="Times New Roman"/>
          <w:szCs w:val="24"/>
        </w:rPr>
      </w:pPr>
      <w:r w:rsidRPr="00872F9C">
        <w:rPr>
          <w:rFonts w:cs="Times New Roman"/>
          <w:szCs w:val="24"/>
        </w:rPr>
        <w:t>by</w:t>
      </w:r>
    </w:p>
    <w:p w14:paraId="77DEC6DC" w14:textId="77777777" w:rsidR="00DF7AA0" w:rsidRPr="00872F9C" w:rsidRDefault="00DF7AA0" w:rsidP="00DF7AA0">
      <w:pPr>
        <w:rPr>
          <w:rFonts w:cs="Times New Roman"/>
          <w:szCs w:val="24"/>
        </w:rPr>
      </w:pPr>
    </w:p>
    <w:p w14:paraId="387FDF28" w14:textId="77777777" w:rsidR="00DF7AA0" w:rsidRPr="00872F9C" w:rsidRDefault="00DF7AA0" w:rsidP="00DF7AA0">
      <w:pPr>
        <w:jc w:val="center"/>
        <w:rPr>
          <w:rFonts w:cs="Times New Roman"/>
          <w:szCs w:val="24"/>
        </w:rPr>
      </w:pPr>
      <w:r w:rsidRPr="00872F9C">
        <w:rPr>
          <w:rFonts w:cs="Times New Roman"/>
          <w:szCs w:val="24"/>
        </w:rPr>
        <w:t>Kingsley O. Nyakagwa</w:t>
      </w:r>
    </w:p>
    <w:p w14:paraId="1CA0D77A" w14:textId="276BEBBC" w:rsidR="00DF7AA0" w:rsidRPr="00872F9C" w:rsidRDefault="00DF7AA0" w:rsidP="00DF7AA0">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April </w:t>
      </w:r>
      <w:r w:rsidR="00034FB7">
        <w:rPr>
          <w:rFonts w:cs="Times New Roman"/>
          <w:szCs w:val="24"/>
        </w:rPr>
        <w:t>11</w:t>
      </w:r>
      <w:r w:rsidRPr="00872F9C">
        <w:rPr>
          <w:rFonts w:cs="Times New Roman"/>
          <w:szCs w:val="24"/>
        </w:rPr>
        <w:t>, 2021</w:t>
      </w:r>
    </w:p>
    <w:p w14:paraId="32848AFC" w14:textId="77777777" w:rsidR="00DF7AA0" w:rsidRPr="00872F9C" w:rsidRDefault="00DF7AA0" w:rsidP="00DF7AA0">
      <w:pPr>
        <w:rPr>
          <w:rFonts w:cs="Times New Roman"/>
          <w:b/>
          <w:szCs w:val="24"/>
        </w:rPr>
      </w:pPr>
    </w:p>
    <w:bookmarkStart w:id="2" w:name="_Toc68372845" w:displacedByCustomXml="next"/>
    <w:bookmarkStart w:id="3" w:name="_Toc65892060" w:displacedByCustomXml="next"/>
    <w:bookmarkStart w:id="4" w:name="_Toc64731567" w:displacedByCustomXml="next"/>
    <w:bookmarkStart w:id="5" w:name="_Toc56175211" w:displacedByCustomXml="next"/>
    <w:bookmarkStart w:id="6" w:name="_Toc55367818" w:displacedByCustomXml="next"/>
    <w:bookmarkStart w:id="7" w:name="_Toc56631515" w:displacedByCustomXml="next"/>
    <w:bookmarkStart w:id="8" w:name="_Toc56981059" w:displacedByCustomXml="next"/>
    <w:bookmarkStart w:id="9" w:name="_Toc56981547" w:displacedByCustomXml="next"/>
    <w:bookmarkStart w:id="10" w:name="_Toc56985422" w:displacedByCustomXml="next"/>
    <w:bookmarkStart w:id="11" w:name="_Toc58310283" w:displacedByCustomXml="next"/>
    <w:bookmarkStart w:id="12" w:name="_Toc68468075" w:displacedByCustomXml="next"/>
    <w:bookmarkStart w:id="13" w:name="_Toc69040188"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0EF8BD1F" w14:textId="77777777" w:rsidR="0027174F" w:rsidRDefault="00DF7AA0" w:rsidP="00DF7AA0">
          <w:pPr>
            <w:pStyle w:val="Heading1"/>
            <w:spacing w:before="0"/>
            <w:rPr>
              <w:noProof/>
            </w:rPr>
          </w:pPr>
          <w:r w:rsidRPr="00EC1723">
            <w:rPr>
              <w:rFonts w:cs="Times New Roman"/>
              <w:szCs w:val="24"/>
            </w:rPr>
            <w:t>Contents</w:t>
          </w:r>
          <w:bookmarkEnd w:id="13"/>
          <w:bookmarkEnd w:id="12"/>
          <w:bookmarkEnd w:id="11"/>
          <w:bookmarkEnd w:id="10"/>
          <w:bookmarkEnd w:id="9"/>
          <w:bookmarkEnd w:id="8"/>
          <w:bookmarkEnd w:id="7"/>
          <w:bookmarkEnd w:id="6"/>
          <w:bookmarkEnd w:id="5"/>
          <w:bookmarkEnd w:id="4"/>
          <w:bookmarkEnd w:id="3"/>
          <w:bookmarkEnd w:id="2"/>
          <w:r w:rsidRPr="00EC1723">
            <w:rPr>
              <w:rFonts w:eastAsia="Century Gothic" w:cs="Times New Roman"/>
              <w:b w:val="0"/>
              <w:szCs w:val="24"/>
            </w:rPr>
            <w:fldChar w:fldCharType="begin"/>
          </w:r>
          <w:r w:rsidRPr="00EC1723">
            <w:rPr>
              <w:rFonts w:cs="Times New Roman"/>
              <w:szCs w:val="24"/>
            </w:rPr>
            <w:instrText xml:space="preserve"> TOC \o "1-3" \h \z \u </w:instrText>
          </w:r>
          <w:r w:rsidRPr="00EC1723">
            <w:rPr>
              <w:rFonts w:eastAsia="Century Gothic" w:cs="Times New Roman"/>
              <w:b w:val="0"/>
              <w:szCs w:val="24"/>
            </w:rPr>
            <w:fldChar w:fldCharType="separate"/>
          </w:r>
        </w:p>
        <w:p w14:paraId="6D1ECD07" w14:textId="184FC266" w:rsidR="0027174F" w:rsidRPr="0027174F" w:rsidRDefault="001E21C4" w:rsidP="0027174F">
          <w:pPr>
            <w:pStyle w:val="TOC1"/>
            <w:tabs>
              <w:tab w:val="right" w:leader="dot" w:pos="9350"/>
            </w:tabs>
            <w:rPr>
              <w:rFonts w:ascii="Times New Roman" w:eastAsiaTheme="minorEastAsia" w:hAnsi="Times New Roman" w:cs="Times New Roman"/>
              <w:b/>
              <w:bCs/>
              <w:noProof/>
              <w:sz w:val="22"/>
              <w:szCs w:val="22"/>
            </w:rPr>
          </w:pPr>
          <w:hyperlink w:anchor="_Toc69040189" w:history="1">
            <w:r w:rsidR="0027174F" w:rsidRPr="0027174F">
              <w:rPr>
                <w:rStyle w:val="Hyperlink"/>
                <w:rFonts w:ascii="Times New Roman" w:hAnsi="Times New Roman" w:cs="Times New Roman"/>
                <w:b/>
                <w:bCs/>
                <w:noProof/>
              </w:rPr>
              <w:t>Introduction</w:t>
            </w:r>
            <w:r w:rsidR="0027174F" w:rsidRPr="0027174F">
              <w:rPr>
                <w:rFonts w:ascii="Times New Roman" w:hAnsi="Times New Roman" w:cs="Times New Roman"/>
                <w:b/>
                <w:bCs/>
                <w:noProof/>
                <w:webHidden/>
              </w:rPr>
              <w:tab/>
            </w:r>
            <w:r w:rsidR="0027174F" w:rsidRPr="0027174F">
              <w:rPr>
                <w:rFonts w:ascii="Times New Roman" w:hAnsi="Times New Roman" w:cs="Times New Roman"/>
                <w:b/>
                <w:bCs/>
                <w:noProof/>
                <w:webHidden/>
              </w:rPr>
              <w:fldChar w:fldCharType="begin"/>
            </w:r>
            <w:r w:rsidR="0027174F" w:rsidRPr="0027174F">
              <w:rPr>
                <w:rFonts w:ascii="Times New Roman" w:hAnsi="Times New Roman" w:cs="Times New Roman"/>
                <w:b/>
                <w:bCs/>
                <w:noProof/>
                <w:webHidden/>
              </w:rPr>
              <w:instrText xml:space="preserve"> PAGEREF _Toc69040189 \h </w:instrText>
            </w:r>
            <w:r w:rsidR="0027174F" w:rsidRPr="0027174F">
              <w:rPr>
                <w:rFonts w:ascii="Times New Roman" w:hAnsi="Times New Roman" w:cs="Times New Roman"/>
                <w:b/>
                <w:bCs/>
                <w:noProof/>
                <w:webHidden/>
              </w:rPr>
            </w:r>
            <w:r w:rsidR="0027174F" w:rsidRPr="0027174F">
              <w:rPr>
                <w:rFonts w:ascii="Times New Roman" w:hAnsi="Times New Roman" w:cs="Times New Roman"/>
                <w:b/>
                <w:bCs/>
                <w:noProof/>
                <w:webHidden/>
              </w:rPr>
              <w:fldChar w:fldCharType="separate"/>
            </w:r>
            <w:r w:rsidR="0027174F" w:rsidRPr="0027174F">
              <w:rPr>
                <w:rFonts w:ascii="Times New Roman" w:hAnsi="Times New Roman" w:cs="Times New Roman"/>
                <w:b/>
                <w:bCs/>
                <w:noProof/>
                <w:webHidden/>
              </w:rPr>
              <w:t>1</w:t>
            </w:r>
            <w:r w:rsidR="0027174F" w:rsidRPr="0027174F">
              <w:rPr>
                <w:rFonts w:ascii="Times New Roman" w:hAnsi="Times New Roman" w:cs="Times New Roman"/>
                <w:b/>
                <w:bCs/>
                <w:noProof/>
                <w:webHidden/>
              </w:rPr>
              <w:fldChar w:fldCharType="end"/>
            </w:r>
          </w:hyperlink>
        </w:p>
        <w:p w14:paraId="51AC642D" w14:textId="6F95465C" w:rsidR="0027174F" w:rsidRPr="0027174F" w:rsidRDefault="001E21C4">
          <w:pPr>
            <w:pStyle w:val="TOC1"/>
            <w:tabs>
              <w:tab w:val="right" w:leader="dot" w:pos="9350"/>
            </w:tabs>
            <w:rPr>
              <w:rFonts w:ascii="Times New Roman" w:eastAsiaTheme="minorEastAsia" w:hAnsi="Times New Roman" w:cs="Times New Roman"/>
              <w:b/>
              <w:bCs/>
              <w:noProof/>
              <w:sz w:val="22"/>
              <w:szCs w:val="22"/>
            </w:rPr>
          </w:pPr>
          <w:hyperlink w:anchor="_Toc69040190" w:history="1">
            <w:r w:rsidR="0027174F" w:rsidRPr="0027174F">
              <w:rPr>
                <w:rStyle w:val="Hyperlink"/>
                <w:rFonts w:ascii="Times New Roman" w:hAnsi="Times New Roman" w:cs="Times New Roman"/>
                <w:b/>
                <w:bCs/>
                <w:noProof/>
              </w:rPr>
              <w:t>Summary</w:t>
            </w:r>
            <w:r w:rsidR="0027174F" w:rsidRPr="0027174F">
              <w:rPr>
                <w:rFonts w:ascii="Times New Roman" w:hAnsi="Times New Roman" w:cs="Times New Roman"/>
                <w:b/>
                <w:bCs/>
                <w:noProof/>
                <w:webHidden/>
              </w:rPr>
              <w:tab/>
            </w:r>
            <w:r w:rsidR="0027174F" w:rsidRPr="0027174F">
              <w:rPr>
                <w:rFonts w:ascii="Times New Roman" w:hAnsi="Times New Roman" w:cs="Times New Roman"/>
                <w:b/>
                <w:bCs/>
                <w:noProof/>
                <w:webHidden/>
              </w:rPr>
              <w:fldChar w:fldCharType="begin"/>
            </w:r>
            <w:r w:rsidR="0027174F" w:rsidRPr="0027174F">
              <w:rPr>
                <w:rFonts w:ascii="Times New Roman" w:hAnsi="Times New Roman" w:cs="Times New Roman"/>
                <w:b/>
                <w:bCs/>
                <w:noProof/>
                <w:webHidden/>
              </w:rPr>
              <w:instrText xml:space="preserve"> PAGEREF _Toc69040190 \h </w:instrText>
            </w:r>
            <w:r w:rsidR="0027174F" w:rsidRPr="0027174F">
              <w:rPr>
                <w:rFonts w:ascii="Times New Roman" w:hAnsi="Times New Roman" w:cs="Times New Roman"/>
                <w:b/>
                <w:bCs/>
                <w:noProof/>
                <w:webHidden/>
              </w:rPr>
            </w:r>
            <w:r w:rsidR="0027174F" w:rsidRPr="0027174F">
              <w:rPr>
                <w:rFonts w:ascii="Times New Roman" w:hAnsi="Times New Roman" w:cs="Times New Roman"/>
                <w:b/>
                <w:bCs/>
                <w:noProof/>
                <w:webHidden/>
              </w:rPr>
              <w:fldChar w:fldCharType="separate"/>
            </w:r>
            <w:r w:rsidR="0027174F" w:rsidRPr="0027174F">
              <w:rPr>
                <w:rFonts w:ascii="Times New Roman" w:hAnsi="Times New Roman" w:cs="Times New Roman"/>
                <w:b/>
                <w:bCs/>
                <w:noProof/>
                <w:webHidden/>
              </w:rPr>
              <w:t>1</w:t>
            </w:r>
            <w:r w:rsidR="0027174F" w:rsidRPr="0027174F">
              <w:rPr>
                <w:rFonts w:ascii="Times New Roman" w:hAnsi="Times New Roman" w:cs="Times New Roman"/>
                <w:b/>
                <w:bCs/>
                <w:noProof/>
                <w:webHidden/>
              </w:rPr>
              <w:fldChar w:fldCharType="end"/>
            </w:r>
          </w:hyperlink>
        </w:p>
        <w:p w14:paraId="5D8BFC12" w14:textId="0EE60666" w:rsidR="0027174F" w:rsidRPr="0027174F" w:rsidRDefault="001E21C4">
          <w:pPr>
            <w:pStyle w:val="TOC1"/>
            <w:tabs>
              <w:tab w:val="right" w:leader="dot" w:pos="9350"/>
            </w:tabs>
            <w:rPr>
              <w:rFonts w:ascii="Times New Roman" w:eastAsiaTheme="minorEastAsia" w:hAnsi="Times New Roman" w:cs="Times New Roman"/>
              <w:b/>
              <w:bCs/>
              <w:noProof/>
              <w:sz w:val="22"/>
              <w:szCs w:val="22"/>
            </w:rPr>
          </w:pPr>
          <w:hyperlink w:anchor="_Toc69040191" w:history="1">
            <w:r w:rsidR="0027174F" w:rsidRPr="0027174F">
              <w:rPr>
                <w:rStyle w:val="Hyperlink"/>
                <w:rFonts w:ascii="Times New Roman" w:hAnsi="Times New Roman" w:cs="Times New Roman"/>
                <w:b/>
                <w:bCs/>
                <w:noProof/>
              </w:rPr>
              <w:t>Analysis</w:t>
            </w:r>
            <w:r w:rsidR="0027174F" w:rsidRPr="0027174F">
              <w:rPr>
                <w:rFonts w:ascii="Times New Roman" w:hAnsi="Times New Roman" w:cs="Times New Roman"/>
                <w:b/>
                <w:bCs/>
                <w:noProof/>
                <w:webHidden/>
              </w:rPr>
              <w:tab/>
            </w:r>
            <w:r w:rsidR="0027174F" w:rsidRPr="0027174F">
              <w:rPr>
                <w:rFonts w:ascii="Times New Roman" w:hAnsi="Times New Roman" w:cs="Times New Roman"/>
                <w:b/>
                <w:bCs/>
                <w:noProof/>
                <w:webHidden/>
              </w:rPr>
              <w:fldChar w:fldCharType="begin"/>
            </w:r>
            <w:r w:rsidR="0027174F" w:rsidRPr="0027174F">
              <w:rPr>
                <w:rFonts w:ascii="Times New Roman" w:hAnsi="Times New Roman" w:cs="Times New Roman"/>
                <w:b/>
                <w:bCs/>
                <w:noProof/>
                <w:webHidden/>
              </w:rPr>
              <w:instrText xml:space="preserve"> PAGEREF _Toc69040191 \h </w:instrText>
            </w:r>
            <w:r w:rsidR="0027174F" w:rsidRPr="0027174F">
              <w:rPr>
                <w:rFonts w:ascii="Times New Roman" w:hAnsi="Times New Roman" w:cs="Times New Roman"/>
                <w:b/>
                <w:bCs/>
                <w:noProof/>
                <w:webHidden/>
              </w:rPr>
            </w:r>
            <w:r w:rsidR="0027174F" w:rsidRPr="0027174F">
              <w:rPr>
                <w:rFonts w:ascii="Times New Roman" w:hAnsi="Times New Roman" w:cs="Times New Roman"/>
                <w:b/>
                <w:bCs/>
                <w:noProof/>
                <w:webHidden/>
              </w:rPr>
              <w:fldChar w:fldCharType="separate"/>
            </w:r>
            <w:r w:rsidR="0027174F" w:rsidRPr="0027174F">
              <w:rPr>
                <w:rFonts w:ascii="Times New Roman" w:hAnsi="Times New Roman" w:cs="Times New Roman"/>
                <w:b/>
                <w:bCs/>
                <w:noProof/>
                <w:webHidden/>
              </w:rPr>
              <w:t>4</w:t>
            </w:r>
            <w:r w:rsidR="0027174F" w:rsidRPr="0027174F">
              <w:rPr>
                <w:rFonts w:ascii="Times New Roman" w:hAnsi="Times New Roman" w:cs="Times New Roman"/>
                <w:b/>
                <w:bCs/>
                <w:noProof/>
                <w:webHidden/>
              </w:rPr>
              <w:fldChar w:fldCharType="end"/>
            </w:r>
          </w:hyperlink>
        </w:p>
        <w:p w14:paraId="5E5223B1" w14:textId="5AD3ABC8" w:rsidR="0027174F" w:rsidRPr="0027174F" w:rsidRDefault="001E21C4">
          <w:pPr>
            <w:pStyle w:val="TOC1"/>
            <w:tabs>
              <w:tab w:val="right" w:leader="dot" w:pos="9350"/>
            </w:tabs>
            <w:rPr>
              <w:rFonts w:ascii="Times New Roman" w:eastAsiaTheme="minorEastAsia" w:hAnsi="Times New Roman" w:cs="Times New Roman"/>
              <w:b/>
              <w:bCs/>
              <w:noProof/>
              <w:sz w:val="22"/>
              <w:szCs w:val="22"/>
            </w:rPr>
          </w:pPr>
          <w:hyperlink w:anchor="_Toc69040192" w:history="1">
            <w:r w:rsidR="0027174F" w:rsidRPr="0027174F">
              <w:rPr>
                <w:rStyle w:val="Hyperlink"/>
                <w:rFonts w:ascii="Times New Roman" w:hAnsi="Times New Roman" w:cs="Times New Roman"/>
                <w:b/>
                <w:bCs/>
                <w:noProof/>
              </w:rPr>
              <w:t>Conclusion</w:t>
            </w:r>
            <w:r w:rsidR="0027174F" w:rsidRPr="0027174F">
              <w:rPr>
                <w:rFonts w:ascii="Times New Roman" w:hAnsi="Times New Roman" w:cs="Times New Roman"/>
                <w:b/>
                <w:bCs/>
                <w:noProof/>
                <w:webHidden/>
              </w:rPr>
              <w:tab/>
            </w:r>
            <w:r w:rsidR="0027174F" w:rsidRPr="0027174F">
              <w:rPr>
                <w:rFonts w:ascii="Times New Roman" w:hAnsi="Times New Roman" w:cs="Times New Roman"/>
                <w:b/>
                <w:bCs/>
                <w:noProof/>
                <w:webHidden/>
              </w:rPr>
              <w:fldChar w:fldCharType="begin"/>
            </w:r>
            <w:r w:rsidR="0027174F" w:rsidRPr="0027174F">
              <w:rPr>
                <w:rFonts w:ascii="Times New Roman" w:hAnsi="Times New Roman" w:cs="Times New Roman"/>
                <w:b/>
                <w:bCs/>
                <w:noProof/>
                <w:webHidden/>
              </w:rPr>
              <w:instrText xml:space="preserve"> PAGEREF _Toc69040192 \h </w:instrText>
            </w:r>
            <w:r w:rsidR="0027174F" w:rsidRPr="0027174F">
              <w:rPr>
                <w:rFonts w:ascii="Times New Roman" w:hAnsi="Times New Roman" w:cs="Times New Roman"/>
                <w:b/>
                <w:bCs/>
                <w:noProof/>
                <w:webHidden/>
              </w:rPr>
            </w:r>
            <w:r w:rsidR="0027174F" w:rsidRPr="0027174F">
              <w:rPr>
                <w:rFonts w:ascii="Times New Roman" w:hAnsi="Times New Roman" w:cs="Times New Roman"/>
                <w:b/>
                <w:bCs/>
                <w:noProof/>
                <w:webHidden/>
              </w:rPr>
              <w:fldChar w:fldCharType="separate"/>
            </w:r>
            <w:r w:rsidR="0027174F" w:rsidRPr="0027174F">
              <w:rPr>
                <w:rFonts w:ascii="Times New Roman" w:hAnsi="Times New Roman" w:cs="Times New Roman"/>
                <w:b/>
                <w:bCs/>
                <w:noProof/>
                <w:webHidden/>
              </w:rPr>
              <w:t>6</w:t>
            </w:r>
            <w:r w:rsidR="0027174F" w:rsidRPr="0027174F">
              <w:rPr>
                <w:rFonts w:ascii="Times New Roman" w:hAnsi="Times New Roman" w:cs="Times New Roman"/>
                <w:b/>
                <w:bCs/>
                <w:noProof/>
                <w:webHidden/>
              </w:rPr>
              <w:fldChar w:fldCharType="end"/>
            </w:r>
          </w:hyperlink>
        </w:p>
        <w:p w14:paraId="10301F63" w14:textId="706E7FFB" w:rsidR="0027174F" w:rsidRPr="0027174F" w:rsidRDefault="001E21C4">
          <w:pPr>
            <w:pStyle w:val="TOC1"/>
            <w:tabs>
              <w:tab w:val="right" w:leader="dot" w:pos="9350"/>
            </w:tabs>
            <w:rPr>
              <w:rFonts w:ascii="Times New Roman" w:eastAsiaTheme="minorEastAsia" w:hAnsi="Times New Roman" w:cs="Times New Roman"/>
              <w:b/>
              <w:bCs/>
              <w:noProof/>
              <w:sz w:val="22"/>
              <w:szCs w:val="22"/>
            </w:rPr>
          </w:pPr>
          <w:hyperlink w:anchor="_Toc69040193" w:history="1">
            <w:r w:rsidR="0027174F" w:rsidRPr="0027174F">
              <w:rPr>
                <w:rStyle w:val="Hyperlink"/>
                <w:rFonts w:ascii="Times New Roman" w:hAnsi="Times New Roman" w:cs="Times New Roman"/>
                <w:b/>
                <w:bCs/>
                <w:noProof/>
              </w:rPr>
              <w:t>Bibliography</w:t>
            </w:r>
            <w:r w:rsidR="0027174F" w:rsidRPr="0027174F">
              <w:rPr>
                <w:rFonts w:ascii="Times New Roman" w:hAnsi="Times New Roman" w:cs="Times New Roman"/>
                <w:b/>
                <w:bCs/>
                <w:noProof/>
                <w:webHidden/>
              </w:rPr>
              <w:tab/>
            </w:r>
            <w:r w:rsidR="0027174F" w:rsidRPr="0027174F">
              <w:rPr>
                <w:rFonts w:ascii="Times New Roman" w:hAnsi="Times New Roman" w:cs="Times New Roman"/>
                <w:b/>
                <w:bCs/>
                <w:noProof/>
                <w:webHidden/>
              </w:rPr>
              <w:fldChar w:fldCharType="begin"/>
            </w:r>
            <w:r w:rsidR="0027174F" w:rsidRPr="0027174F">
              <w:rPr>
                <w:rFonts w:ascii="Times New Roman" w:hAnsi="Times New Roman" w:cs="Times New Roman"/>
                <w:b/>
                <w:bCs/>
                <w:noProof/>
                <w:webHidden/>
              </w:rPr>
              <w:instrText xml:space="preserve"> PAGEREF _Toc69040193 \h </w:instrText>
            </w:r>
            <w:r w:rsidR="0027174F" w:rsidRPr="0027174F">
              <w:rPr>
                <w:rFonts w:ascii="Times New Roman" w:hAnsi="Times New Roman" w:cs="Times New Roman"/>
                <w:b/>
                <w:bCs/>
                <w:noProof/>
                <w:webHidden/>
              </w:rPr>
            </w:r>
            <w:r w:rsidR="0027174F" w:rsidRPr="0027174F">
              <w:rPr>
                <w:rFonts w:ascii="Times New Roman" w:hAnsi="Times New Roman" w:cs="Times New Roman"/>
                <w:b/>
                <w:bCs/>
                <w:noProof/>
                <w:webHidden/>
              </w:rPr>
              <w:fldChar w:fldCharType="separate"/>
            </w:r>
            <w:r w:rsidR="0027174F" w:rsidRPr="0027174F">
              <w:rPr>
                <w:rFonts w:ascii="Times New Roman" w:hAnsi="Times New Roman" w:cs="Times New Roman"/>
                <w:b/>
                <w:bCs/>
                <w:noProof/>
                <w:webHidden/>
              </w:rPr>
              <w:t>6</w:t>
            </w:r>
            <w:r w:rsidR="0027174F" w:rsidRPr="0027174F">
              <w:rPr>
                <w:rFonts w:ascii="Times New Roman" w:hAnsi="Times New Roman" w:cs="Times New Roman"/>
                <w:b/>
                <w:bCs/>
                <w:noProof/>
                <w:webHidden/>
              </w:rPr>
              <w:fldChar w:fldCharType="end"/>
            </w:r>
          </w:hyperlink>
        </w:p>
        <w:p w14:paraId="5CAA2CA2" w14:textId="46FB49D9" w:rsidR="00DF7AA0" w:rsidRPr="00872F9C" w:rsidRDefault="00DF7AA0" w:rsidP="00DF7AA0">
          <w:pPr>
            <w:rPr>
              <w:rFonts w:cs="Times New Roman"/>
              <w:szCs w:val="24"/>
            </w:rPr>
          </w:pPr>
          <w:r w:rsidRPr="00EC1723">
            <w:rPr>
              <w:rFonts w:cs="Times New Roman"/>
              <w:b/>
              <w:bCs/>
              <w:noProof/>
              <w:szCs w:val="24"/>
            </w:rPr>
            <w:fldChar w:fldCharType="end"/>
          </w:r>
        </w:p>
      </w:sdtContent>
    </w:sdt>
    <w:p w14:paraId="077F3532" w14:textId="77777777" w:rsidR="00DF7AA0" w:rsidRPr="00872F9C" w:rsidRDefault="00DF7AA0" w:rsidP="00DF7AA0">
      <w:pPr>
        <w:spacing w:after="200"/>
        <w:rPr>
          <w:rFonts w:cs="Times New Roman"/>
          <w:szCs w:val="24"/>
        </w:rPr>
        <w:sectPr w:rsidR="00DF7AA0" w:rsidRPr="00872F9C"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362879AF" w14:textId="12F6B91C" w:rsidR="00DF7AA0" w:rsidRDefault="00034FB7" w:rsidP="00B5281B">
      <w:pPr>
        <w:pStyle w:val="Heading1"/>
      </w:pPr>
      <w:bookmarkStart w:id="14" w:name="_Toc69040189"/>
      <w:r>
        <w:lastRenderedPageBreak/>
        <w:t>Introduction</w:t>
      </w:r>
      <w:bookmarkEnd w:id="14"/>
    </w:p>
    <w:p w14:paraId="0206275F" w14:textId="1307B268" w:rsidR="00BF192D" w:rsidRDefault="00BF192D" w:rsidP="00B5281B">
      <w:pPr>
        <w:pStyle w:val="NormalWeb"/>
        <w:spacing w:before="0" w:beforeAutospacing="0" w:after="0" w:afterAutospacing="0" w:line="480" w:lineRule="auto"/>
        <w:ind w:firstLine="720"/>
        <w:rPr>
          <w:color w:val="0E101A"/>
        </w:rPr>
      </w:pPr>
      <w:r>
        <w:rPr>
          <w:color w:val="0E101A"/>
        </w:rPr>
        <w:t>Many scholars agree that interpreting scriptures correctly sometimes gets undermined by cultural blinders. Sadly, many Christians do not even know it. Richards and O’Brien’s book </w:t>
      </w:r>
      <w:r>
        <w:rPr>
          <w:rStyle w:val="Emphasis"/>
          <w:color w:val="0E101A"/>
        </w:rPr>
        <w:t xml:space="preserve">Misreading Scripture </w:t>
      </w:r>
      <w:r>
        <w:rPr>
          <w:rStyle w:val="Emphasis"/>
          <w:color w:val="0E101A"/>
        </w:rPr>
        <w:t>w</w:t>
      </w:r>
      <w:r>
        <w:rPr>
          <w:rStyle w:val="Emphasis"/>
          <w:color w:val="0E101A"/>
        </w:rPr>
        <w:t>ith Western Eyes </w:t>
      </w:r>
      <w:r>
        <w:rPr>
          <w:color w:val="0E101A"/>
        </w:rPr>
        <w:t>offers the solution. In this book, they identify the nine most common cultural factors and go on further to elaborate on how they affect the reading of scriptures. This paper argues that, although Richard and O’Brien demonstrate that one learns better his or her culture if he or she learns it from the lens of another culture, the comparison and contrast they offer on the two cultures aid the understanding of biblical passages.</w:t>
      </w:r>
    </w:p>
    <w:p w14:paraId="412125C7" w14:textId="77777777" w:rsidR="00BF192D" w:rsidRDefault="00BF192D" w:rsidP="00B5281B">
      <w:pPr>
        <w:pStyle w:val="Heading1"/>
        <w:spacing w:before="0"/>
        <w:rPr>
          <w:b w:val="0"/>
          <w:color w:val="0E101A"/>
        </w:rPr>
      </w:pPr>
      <w:r w:rsidRPr="00B5281B">
        <w:rPr>
          <w:color w:val="0E101A"/>
        </w:rPr>
        <w:t>Summary</w:t>
      </w:r>
    </w:p>
    <w:p w14:paraId="2FB31AF6" w14:textId="4E2D2C71" w:rsidR="00BF192D" w:rsidRDefault="00BF192D" w:rsidP="00B5281B">
      <w:pPr>
        <w:pStyle w:val="NormalWeb"/>
        <w:spacing w:before="0" w:beforeAutospacing="0" w:after="0" w:afterAutospacing="0" w:line="480" w:lineRule="auto"/>
        <w:ind w:firstLine="720"/>
        <w:rPr>
          <w:color w:val="0E101A"/>
        </w:rPr>
      </w:pPr>
      <w:r>
        <w:rPr>
          <w:rStyle w:val="Emphasis"/>
          <w:color w:val="0E101A"/>
        </w:rPr>
        <w:t xml:space="preserve">Misreading Scripture </w:t>
      </w:r>
      <w:r w:rsidR="00B5281B">
        <w:rPr>
          <w:rStyle w:val="Emphasis"/>
          <w:color w:val="0E101A"/>
        </w:rPr>
        <w:t>with</w:t>
      </w:r>
      <w:r>
        <w:rPr>
          <w:rStyle w:val="Emphasis"/>
          <w:color w:val="0E101A"/>
        </w:rPr>
        <w:t xml:space="preserve"> Western Eyes</w:t>
      </w:r>
      <w:r>
        <w:rPr>
          <w:color w:val="0E101A"/>
        </w:rPr>
        <w:t> is divided into three main parts. The first part discusses presuppositions (what goes without being said) about the following cultural differences (mores, race, and language) and how they can lead readers to misread the Bible.</w:t>
      </w:r>
      <w:r w:rsidRPr="00BF192D">
        <w:rPr>
          <w:rStyle w:val="FootnoteReference"/>
        </w:rPr>
        <w:t xml:space="preserve"> </w:t>
      </w:r>
      <w:r>
        <w:rPr>
          <w:rStyle w:val="FootnoteReference"/>
        </w:rPr>
        <w:footnoteReference w:id="1"/>
      </w:r>
      <w:r>
        <w:rPr>
          <w:color w:val="0E101A"/>
        </w:rPr>
        <w:t> On mores, Richard and Obrien borrowing from the </w:t>
      </w:r>
      <w:r>
        <w:rPr>
          <w:rStyle w:val="Emphasis"/>
          <w:color w:val="0E101A"/>
        </w:rPr>
        <w:t>Webster’s Dictionary</w:t>
      </w:r>
      <w:r>
        <w:rPr>
          <w:color w:val="0E101A"/>
        </w:rPr>
        <w:t> define mores as “folkways of central importance accepted without question and embodying the fundamental moral views of a group.”</w:t>
      </w:r>
      <w:r w:rsidRPr="00BF192D">
        <w:rPr>
          <w:rStyle w:val="FootnoteReference"/>
        </w:rPr>
        <w:t xml:space="preserve"> </w:t>
      </w:r>
      <w:r>
        <w:rPr>
          <w:rStyle w:val="FootnoteReference"/>
        </w:rPr>
        <w:footnoteReference w:id="2"/>
      </w:r>
      <w:r>
        <w:rPr>
          <w:color w:val="0E101A"/>
        </w:rPr>
        <w:t> Richards and O’Brien added, “They go without being said.”</w:t>
      </w:r>
      <w:r w:rsidRPr="00BF192D">
        <w:rPr>
          <w:rStyle w:val="FootnoteReference"/>
        </w:rPr>
        <w:t xml:space="preserve"> </w:t>
      </w:r>
      <w:r>
        <w:rPr>
          <w:rStyle w:val="FootnoteReference"/>
        </w:rPr>
        <w:footnoteReference w:id="3"/>
      </w:r>
      <w:r>
        <w:rPr>
          <w:color w:val="0E101A"/>
        </w:rPr>
        <w:t> To avoid misreading the Bible as a result of the said mores, the book advises the reader to develop greater sensitivity both to his or her cultural mores and those assumed by the biblical writers and their audiences.</w:t>
      </w:r>
      <w:r w:rsidRPr="00BF192D">
        <w:rPr>
          <w:rStyle w:val="FootnoteReference"/>
        </w:rPr>
        <w:t xml:space="preserve"> </w:t>
      </w:r>
      <w:r>
        <w:rPr>
          <w:rStyle w:val="FootnoteReference"/>
        </w:rPr>
        <w:footnoteReference w:id="4"/>
      </w:r>
      <w:r>
        <w:rPr>
          <w:color w:val="0E101A"/>
        </w:rPr>
        <w:t xml:space="preserve">  Richards and O’Brien offer three steps in which one can develop this sensitivity. First, they posit that readers should pay attention to their instinctive interpretations. Second, they should </w:t>
      </w:r>
      <w:r>
        <w:rPr>
          <w:color w:val="0E101A"/>
        </w:rPr>
        <w:lastRenderedPageBreak/>
        <w:t>look for clues in the text they are reading. Finally, they should read Christian writings from different cultures and ages.</w:t>
      </w:r>
      <w:r w:rsidRPr="00BF192D">
        <w:rPr>
          <w:rStyle w:val="FootnoteReference"/>
        </w:rPr>
        <w:t xml:space="preserve"> </w:t>
      </w:r>
      <w:r>
        <w:rPr>
          <w:rStyle w:val="FootnoteReference"/>
        </w:rPr>
        <w:footnoteReference w:id="5"/>
      </w:r>
    </w:p>
    <w:p w14:paraId="051E2DC8" w14:textId="3F05FF99" w:rsidR="00BF192D" w:rsidRDefault="00BF192D" w:rsidP="00B5281B">
      <w:pPr>
        <w:pStyle w:val="NormalWeb"/>
        <w:spacing w:before="0" w:beforeAutospacing="0" w:after="0" w:afterAutospacing="0" w:line="480" w:lineRule="auto"/>
        <w:ind w:firstLine="720"/>
        <w:rPr>
          <w:color w:val="0E101A"/>
        </w:rPr>
      </w:pPr>
      <w:r>
        <w:rPr>
          <w:color w:val="0E101A"/>
        </w:rPr>
        <w:t>The first part also touches on ethnicity and race. Richard and O’Brien portend that “our ignorance about the ethnic stereotypes in biblical times can cause us to miss undercurrents in the biblical text.”</w:t>
      </w:r>
      <w:r w:rsidRPr="00BF192D">
        <w:rPr>
          <w:rStyle w:val="FootnoteReference"/>
        </w:rPr>
        <w:t xml:space="preserve"> </w:t>
      </w:r>
      <w:r>
        <w:rPr>
          <w:rStyle w:val="FootnoteReference"/>
        </w:rPr>
        <w:footnoteReference w:id="6"/>
      </w:r>
      <w:r>
        <w:rPr>
          <w:color w:val="0E101A"/>
        </w:rPr>
        <w:t> Besides, they also caution that our prejudices can lead us astray. </w:t>
      </w:r>
      <w:r>
        <w:rPr>
          <w:rStyle w:val="FootnoteReference"/>
        </w:rPr>
        <w:footnoteReference w:id="7"/>
      </w:r>
      <w:r>
        <w:rPr>
          <w:color w:val="0E101A"/>
        </w:rPr>
        <w:t> Thus, we should continually examine ourselves to avoid harboring them.</w:t>
      </w:r>
    </w:p>
    <w:p w14:paraId="71CF0009" w14:textId="2E57EE61" w:rsidR="00BF192D" w:rsidRDefault="00BF192D" w:rsidP="00B5281B">
      <w:pPr>
        <w:pStyle w:val="NormalWeb"/>
        <w:spacing w:before="0" w:beforeAutospacing="0" w:after="0" w:afterAutospacing="0" w:line="480" w:lineRule="auto"/>
        <w:ind w:firstLine="720"/>
        <w:rPr>
          <w:color w:val="0E101A"/>
        </w:rPr>
      </w:pPr>
      <w:r>
        <w:rPr>
          <w:color w:val="0E101A"/>
        </w:rPr>
        <w:t>Chapter three concludes the first part. Briefly, the chapter talks about language. Language is an important element of culture. In most cases, it is one of the top distinctions of a people from the rest. All over the world, a majority of tribes are named after their language. This explains why Richard and O’Brien included language in the book. The west views language based on three assumptions: sufficiency, equivalency, and clarity.</w:t>
      </w:r>
      <w:r w:rsidRPr="00BF192D">
        <w:rPr>
          <w:rStyle w:val="FootnoteReference"/>
        </w:rPr>
        <w:t xml:space="preserve"> </w:t>
      </w:r>
      <w:r>
        <w:rPr>
          <w:rStyle w:val="FootnoteReference"/>
        </w:rPr>
        <w:footnoteReference w:id="8"/>
      </w:r>
      <w:r>
        <w:rPr>
          <w:color w:val="0E101A"/>
        </w:rPr>
        <w:t> Since language is at once the most obvious and the most insidious, serious misunderstanding can occur when we fail to recognize all that goes without being said about language and how we use it.</w:t>
      </w:r>
      <w:r w:rsidRPr="00BF192D">
        <w:rPr>
          <w:rStyle w:val="FootnoteReference"/>
        </w:rPr>
        <w:t xml:space="preserve"> </w:t>
      </w:r>
      <w:r>
        <w:rPr>
          <w:rStyle w:val="FootnoteReference"/>
        </w:rPr>
        <w:footnoteReference w:id="9"/>
      </w:r>
      <w:r>
        <w:rPr>
          <w:color w:val="0E101A"/>
        </w:rPr>
        <w:t> For this reason, chapter three recommends that a reader uses various Bible translations when trying to make sense of a passage.</w:t>
      </w:r>
    </w:p>
    <w:p w14:paraId="2D4143D2" w14:textId="77777777" w:rsidR="00BF192D" w:rsidRDefault="00BF192D" w:rsidP="00B5281B">
      <w:pPr>
        <w:pStyle w:val="NormalWeb"/>
        <w:spacing w:before="0" w:beforeAutospacing="0" w:after="0" w:afterAutospacing="0" w:line="480" w:lineRule="auto"/>
        <w:ind w:firstLine="720"/>
        <w:rPr>
          <w:color w:val="0E101A"/>
        </w:rPr>
      </w:pPr>
      <w:r>
        <w:rPr>
          <w:color w:val="0E101A"/>
        </w:rPr>
        <w:t xml:space="preserve">Part two of the book also has three chapters. Chapter four compares individualism and collectivism. Richards and O’Brien observe, that the west is considered to be individualistic while the east is considered to be communal. Throughout the chapter, there is an insistence for Christians to abandon the individualistic element of their culture and imitate the eastern </w:t>
      </w:r>
      <w:r>
        <w:rPr>
          <w:color w:val="0E101A"/>
        </w:rPr>
        <w:lastRenderedPageBreak/>
        <w:t>believers' view of the community. The reason is that if our perspective is individualistic, we are likely to get the wrong idea of what an event described in the Bible might have looked like. This can lead to the more serious problem of misunderstanding what it meant.</w:t>
      </w:r>
    </w:p>
    <w:p w14:paraId="3BD38E28" w14:textId="57BA465B" w:rsidR="00BF192D" w:rsidRDefault="00BF192D" w:rsidP="00B5281B">
      <w:pPr>
        <w:pStyle w:val="NormalWeb"/>
        <w:spacing w:before="0" w:beforeAutospacing="0" w:after="0" w:afterAutospacing="0" w:line="480" w:lineRule="auto"/>
        <w:ind w:firstLine="720"/>
        <w:rPr>
          <w:color w:val="0E101A"/>
        </w:rPr>
      </w:pPr>
      <w:r>
        <w:rPr>
          <w:color w:val="0E101A"/>
        </w:rPr>
        <w:t>Chapter five compares and contrasts the shame culture of the east with the guilt culture of the west. In shame cultures, people are more likely to choose the right behavior based on what society expects from them.</w:t>
      </w:r>
      <w:r w:rsidRPr="00BF192D">
        <w:rPr>
          <w:rStyle w:val="FootnoteReference"/>
        </w:rPr>
        <w:t xml:space="preserve"> </w:t>
      </w:r>
      <w:r>
        <w:rPr>
          <w:rStyle w:val="FootnoteReference"/>
        </w:rPr>
        <w:footnoteReference w:id="10"/>
      </w:r>
      <w:r>
        <w:rPr>
          <w:color w:val="0E101A"/>
        </w:rPr>
        <w:t> As for the guilt culture, which most of the western countries are part of, the emphasis is on one’s conscience. An individual is likely to choose the right behavior because he does not want his conscience to prick him.</w:t>
      </w:r>
    </w:p>
    <w:p w14:paraId="3E015738" w14:textId="1830D8FF" w:rsidR="00BF192D" w:rsidRDefault="00BF192D" w:rsidP="00B5281B">
      <w:pPr>
        <w:pStyle w:val="NormalWeb"/>
        <w:spacing w:before="0" w:beforeAutospacing="0" w:after="0" w:afterAutospacing="0" w:line="480" w:lineRule="auto"/>
        <w:ind w:firstLine="720"/>
        <w:rPr>
          <w:color w:val="0E101A"/>
        </w:rPr>
      </w:pPr>
      <w:r>
        <w:rPr>
          <w:color w:val="0E101A"/>
        </w:rPr>
        <w:t>Chapter six discusses how the west and east view time. First, Richards and O’Brien discuss the importance these two cultures give to time. For the west, time is of the essence.</w:t>
      </w:r>
      <w:r w:rsidRPr="00BF192D">
        <w:rPr>
          <w:rStyle w:val="FootnoteReference"/>
        </w:rPr>
        <w:t xml:space="preserve"> </w:t>
      </w:r>
      <w:r>
        <w:rPr>
          <w:rStyle w:val="FootnoteReference"/>
        </w:rPr>
        <w:footnoteReference w:id="11"/>
      </w:r>
      <w:r>
        <w:rPr>
          <w:color w:val="0E101A"/>
        </w:rPr>
        <w:t> Deadlines have to be met and lateness is considered to be rude. For the east, time is important but not in the sense of meeting deadlines or making it to a place on time. Second, the book discusses how the west and east measure time. For the west, people strictly follow the clock. For the eastern cultures, time is measured using the sun, or the correct time is connected to a certain condition or situation.</w:t>
      </w:r>
      <w:r w:rsidRPr="00BF192D">
        <w:rPr>
          <w:rStyle w:val="FootnoteReference"/>
        </w:rPr>
        <w:t xml:space="preserve"> </w:t>
      </w:r>
      <w:r>
        <w:rPr>
          <w:rStyle w:val="FootnoteReference"/>
        </w:rPr>
        <w:footnoteReference w:id="12"/>
      </w:r>
      <w:r>
        <w:t xml:space="preserve"> </w:t>
      </w:r>
      <w:r>
        <w:rPr>
          <w:color w:val="0E101A"/>
        </w:rPr>
        <w:t>Relationships, not necessarily punctuality is key.</w:t>
      </w:r>
    </w:p>
    <w:p w14:paraId="547BCC25" w14:textId="76836B4F" w:rsidR="00BF192D" w:rsidRDefault="00BF192D" w:rsidP="00B5281B">
      <w:pPr>
        <w:pStyle w:val="NormalWeb"/>
        <w:spacing w:before="0" w:beforeAutospacing="0" w:after="0" w:afterAutospacing="0" w:line="480" w:lineRule="auto"/>
        <w:ind w:firstLine="720"/>
        <w:rPr>
          <w:color w:val="0E101A"/>
        </w:rPr>
      </w:pPr>
      <w:r>
        <w:rPr>
          <w:color w:val="0E101A"/>
        </w:rPr>
        <w:t>Part three discusses cultural differences that are often hidden from view or obscured by more obvious differences. Also known as icebergs, chapter seven highlights the norms around relationships. Richard and O’Brien assert that western cultures tend to view relationships as made to operate by prescribed rules.</w:t>
      </w:r>
      <w:r w:rsidRPr="00BF192D">
        <w:rPr>
          <w:rStyle w:val="FootnoteReference"/>
        </w:rPr>
        <w:t xml:space="preserve"> </w:t>
      </w:r>
      <w:r>
        <w:rPr>
          <w:rStyle w:val="FootnoteReference"/>
        </w:rPr>
        <w:footnoteReference w:id="13"/>
      </w:r>
      <w:r>
        <w:rPr>
          <w:color w:val="0E101A"/>
        </w:rPr>
        <w:t> The book cautions against prioritizing rules over relationships.</w:t>
      </w:r>
    </w:p>
    <w:p w14:paraId="2C538840" w14:textId="6258442A" w:rsidR="00BF192D" w:rsidRDefault="00BF192D" w:rsidP="00B5281B">
      <w:pPr>
        <w:pStyle w:val="NormalWeb"/>
        <w:spacing w:before="0" w:beforeAutospacing="0" w:after="0" w:afterAutospacing="0" w:line="480" w:lineRule="auto"/>
        <w:ind w:firstLine="720"/>
        <w:rPr>
          <w:color w:val="0E101A"/>
        </w:rPr>
      </w:pPr>
      <w:r>
        <w:rPr>
          <w:color w:val="0E101A"/>
        </w:rPr>
        <w:lastRenderedPageBreak/>
        <w:t>Chapter eight talks about virtues and vices. Richard and O'Brien note, “We are profoundly influenced by our culture to recognize certain behaviors as virtues and other behaviors as vices.”</w:t>
      </w:r>
      <w:r w:rsidR="00B5281B" w:rsidRPr="00B5281B">
        <w:rPr>
          <w:rStyle w:val="FootnoteReference"/>
        </w:rPr>
        <w:t xml:space="preserve"> </w:t>
      </w:r>
      <w:r w:rsidR="00B5281B">
        <w:rPr>
          <w:rStyle w:val="FootnoteReference"/>
        </w:rPr>
        <w:footnoteReference w:id="14"/>
      </w:r>
      <w:r>
        <w:rPr>
          <w:color w:val="0E101A"/>
        </w:rPr>
        <w:t> The book examines how we treat sins differently because of the culture. The west culture tends to view sexual sins as the gravest.</w:t>
      </w:r>
    </w:p>
    <w:p w14:paraId="1B9ECCCE" w14:textId="5479BEAB" w:rsidR="00BF192D" w:rsidRDefault="00BF192D" w:rsidP="00B5281B">
      <w:pPr>
        <w:pStyle w:val="NormalWeb"/>
        <w:spacing w:before="0" w:beforeAutospacing="0" w:after="0" w:afterAutospacing="0" w:line="480" w:lineRule="auto"/>
        <w:ind w:firstLine="720"/>
        <w:rPr>
          <w:color w:val="0E101A"/>
        </w:rPr>
      </w:pPr>
      <w:r>
        <w:rPr>
          <w:color w:val="0E101A"/>
        </w:rPr>
        <w:t> Chapter nine goes back to discuss the self-centeredness of the American culture. As an individualistic culture, the American reader tends to misread the bible by supposing that the Bible is personally speaking to him or her even when it is talking about a community of people.</w:t>
      </w:r>
      <w:r w:rsidR="00B5281B">
        <w:rPr>
          <w:rStyle w:val="FootnoteReference"/>
          <w:color w:val="0E101A"/>
        </w:rPr>
        <w:footnoteReference w:id="15"/>
      </w:r>
    </w:p>
    <w:p w14:paraId="3623AE3D" w14:textId="77777777" w:rsidR="00BF192D" w:rsidRDefault="00BF192D" w:rsidP="00B5281B">
      <w:pPr>
        <w:pStyle w:val="NormalWeb"/>
        <w:spacing w:before="0" w:beforeAutospacing="0" w:after="0" w:afterAutospacing="0" w:line="480" w:lineRule="auto"/>
        <w:rPr>
          <w:color w:val="0E101A"/>
        </w:rPr>
      </w:pPr>
      <w:r>
        <w:rPr>
          <w:color w:val="0E101A"/>
        </w:rPr>
        <w:t>The conclusion discusses what can be done to remove cultural blinders. Richard and O’Brien recommend five things: Embrace complexity, beware of overcorrection, be teachable, embrace error and read together.</w:t>
      </w:r>
    </w:p>
    <w:p w14:paraId="11E024DE" w14:textId="77777777" w:rsidR="00BF192D" w:rsidRDefault="00BF192D" w:rsidP="00B5281B">
      <w:pPr>
        <w:pStyle w:val="Heading1"/>
        <w:spacing w:before="0"/>
        <w:rPr>
          <w:b w:val="0"/>
          <w:color w:val="0E101A"/>
        </w:rPr>
      </w:pPr>
      <w:r w:rsidRPr="00B5281B">
        <w:rPr>
          <w:color w:val="0E101A"/>
        </w:rPr>
        <w:t>Analysis</w:t>
      </w:r>
    </w:p>
    <w:p w14:paraId="5EF30FCB" w14:textId="77777777" w:rsidR="00BF192D" w:rsidRDefault="00BF192D" w:rsidP="00B5281B">
      <w:pPr>
        <w:pStyle w:val="NormalWeb"/>
        <w:spacing w:before="0" w:beforeAutospacing="0" w:after="0" w:afterAutospacing="0" w:line="480" w:lineRule="auto"/>
        <w:ind w:firstLine="720"/>
        <w:rPr>
          <w:color w:val="0E101A"/>
        </w:rPr>
      </w:pPr>
      <w:r>
        <w:rPr>
          <w:color w:val="0E101A"/>
        </w:rPr>
        <w:t>One of the things that I commend in </w:t>
      </w:r>
      <w:r>
        <w:rPr>
          <w:rStyle w:val="Emphasis"/>
          <w:color w:val="0E101A"/>
        </w:rPr>
        <w:t>Misreading Scripture with Western Eyes </w:t>
      </w:r>
      <w:r>
        <w:rPr>
          <w:color w:val="0E101A"/>
        </w:rPr>
        <w:t>is the wealth of experience that the authors have on the subject. Most pertinent issues of culture are not learned theoretically. Rather, they are observed and lived out. At the most basic, Richard and O’Brien have lived out the cultures they are writing about. Having grown up in the United States and lived and worked in Indonesia for several years, they are quite experienced in the cultures that they are talking about. Living in both western and eastern cultures gave them a chance to see a culture through another culture’s eyes. While in Indonesia O’Brien had a perfect chance to learn more about his west culture.</w:t>
      </w:r>
    </w:p>
    <w:p w14:paraId="2DB1D2F6" w14:textId="2490BDE3" w:rsidR="00BF192D" w:rsidRDefault="00BF192D" w:rsidP="00B5281B">
      <w:pPr>
        <w:pStyle w:val="NormalWeb"/>
        <w:spacing w:before="0" w:beforeAutospacing="0" w:after="0" w:afterAutospacing="0" w:line="480" w:lineRule="auto"/>
        <w:rPr>
          <w:color w:val="0E101A"/>
        </w:rPr>
      </w:pPr>
      <w:r>
        <w:rPr>
          <w:color w:val="0E101A"/>
        </w:rPr>
        <w:t xml:space="preserve">Also, the use of stories is a plus for this book. The stories simplify the complexity of the concepts that the author puts across. For instance, in chapter five, O’Brien gives a counseling </w:t>
      </w:r>
      <w:r>
        <w:rPr>
          <w:color w:val="0E101A"/>
        </w:rPr>
        <w:lastRenderedPageBreak/>
        <w:t>story of an Indonesian couple facing marital issues. During the counseling session, he was surprised that the wife was not pained by the husband's betrayal as much as she was because of the shame the husband put her through in the extramarital affair.</w:t>
      </w:r>
      <w:r w:rsidR="00B5281B" w:rsidRPr="00B5281B">
        <w:rPr>
          <w:rStyle w:val="FootnoteReference"/>
        </w:rPr>
        <w:t xml:space="preserve"> </w:t>
      </w:r>
      <w:r w:rsidR="00B5281B">
        <w:rPr>
          <w:rStyle w:val="FootnoteReference"/>
        </w:rPr>
        <w:footnoteReference w:id="16"/>
      </w:r>
      <w:r>
        <w:rPr>
          <w:color w:val="0E101A"/>
        </w:rPr>
        <w:t> The story worked well to reinforce the differences between the shame and guilt cultures.</w:t>
      </w:r>
    </w:p>
    <w:p w14:paraId="19F6F6A5" w14:textId="728B9B67" w:rsidR="00BF192D" w:rsidRDefault="00BF192D" w:rsidP="00B5281B">
      <w:pPr>
        <w:pStyle w:val="NormalWeb"/>
        <w:spacing w:before="0" w:beforeAutospacing="0" w:after="0" w:afterAutospacing="0" w:line="480" w:lineRule="auto"/>
        <w:ind w:firstLine="720"/>
        <w:rPr>
          <w:color w:val="0E101A"/>
        </w:rPr>
      </w:pPr>
      <w:r>
        <w:rPr>
          <w:color w:val="0E101A"/>
        </w:rPr>
        <w:t>Finally, the book is commendable because it demystifies some of the wrong scriptural interpretations that many readers uphold even without thinking. Richard and O'Brien achieved their purpose for the book. By the time someone finished reading the book, they have a new understanding of several biblical passages that they might have in the past misinterpreted. For instance, I found Richard and O'Brien's commentary on Jeremiah 29:11 mindboggling. In the past, I have thought the verse's application is personal only to find that the intended application was for the community.</w:t>
      </w:r>
      <w:r w:rsidR="00B5281B">
        <w:rPr>
          <w:rStyle w:val="FootnoteReference"/>
        </w:rPr>
        <w:footnoteReference w:id="17"/>
      </w:r>
    </w:p>
    <w:p w14:paraId="3260D229" w14:textId="77777777" w:rsidR="00BF192D" w:rsidRDefault="00BF192D" w:rsidP="00B5281B">
      <w:pPr>
        <w:pStyle w:val="NormalWeb"/>
        <w:spacing w:before="0" w:beforeAutospacing="0" w:after="0" w:afterAutospacing="0" w:line="480" w:lineRule="auto"/>
        <w:ind w:firstLine="720"/>
        <w:rPr>
          <w:color w:val="0E101A"/>
        </w:rPr>
      </w:pPr>
      <w:r>
        <w:rPr>
          <w:color w:val="0E101A"/>
        </w:rPr>
        <w:t>Perhaps, the only weakness of this book is the dichotomy it sets between the western and eastern cultures. Chapter eight discussed how the west loves to dichotomize issues. Incidentally, Richard and O’Brien have done the same thing throughout the book. They have created a wedge between the west and east cultures and have fallen culprit to the same worldview that they ask the reader to avoid. Therefore, I would have hoped that the two highlighted other cultures besides the east and the west. Phebe (one of their resource persons) who has done missions in Africa should have encouraged them to at least highlight the cultural norms and mores from there. Also, using Indonesia in place of the whole east is quite an overgeneralization.</w:t>
      </w:r>
    </w:p>
    <w:p w14:paraId="476B4DE7" w14:textId="77777777" w:rsidR="00BF192D" w:rsidRDefault="00BF192D" w:rsidP="00B5281B">
      <w:pPr>
        <w:pStyle w:val="NormalWeb"/>
        <w:spacing w:before="0" w:beforeAutospacing="0" w:after="0" w:afterAutospacing="0" w:line="480" w:lineRule="auto"/>
        <w:rPr>
          <w:color w:val="0E101A"/>
        </w:rPr>
      </w:pPr>
    </w:p>
    <w:p w14:paraId="7A987D0B" w14:textId="77777777" w:rsidR="00BF192D" w:rsidRDefault="00BF192D" w:rsidP="00B5281B">
      <w:pPr>
        <w:pStyle w:val="Heading1"/>
        <w:spacing w:before="0"/>
        <w:rPr>
          <w:b w:val="0"/>
          <w:color w:val="0E101A"/>
        </w:rPr>
      </w:pPr>
      <w:r w:rsidRPr="00B5281B">
        <w:rPr>
          <w:color w:val="0E101A"/>
        </w:rPr>
        <w:lastRenderedPageBreak/>
        <w:t>Conclusion</w:t>
      </w:r>
    </w:p>
    <w:p w14:paraId="4701FEF0" w14:textId="77777777" w:rsidR="00BF192D" w:rsidRDefault="00BF192D" w:rsidP="00B5281B">
      <w:pPr>
        <w:pStyle w:val="NormalWeb"/>
        <w:spacing w:before="0" w:beforeAutospacing="0" w:after="0" w:afterAutospacing="0" w:line="480" w:lineRule="auto"/>
        <w:ind w:firstLine="720"/>
        <w:rPr>
          <w:color w:val="0E101A"/>
        </w:rPr>
      </w:pPr>
      <w:r>
        <w:rPr>
          <w:color w:val="0E101A"/>
        </w:rPr>
        <w:t>To say that Richards and O’Brien have done a fantastic job is an understatement. Throughout the book, there offer many insights as they discuss the nine cultural factors that cause the American reader to misread scriptures. These factors include mores, ethnicity, language, time orientation, individualism, shame/guilt, rules on relationships, virtue/vice, and the me-first. Using real-life stories, they demonstrate how cultural blinders can cause us to misread the Bible. The book leaves us with one challenge: to lay off all the cultural blinders and read the Bible properly.</w:t>
      </w:r>
    </w:p>
    <w:p w14:paraId="7D3587E7" w14:textId="11C508C0" w:rsidR="00BF192D" w:rsidRDefault="00B5281B" w:rsidP="00B5281B">
      <w:pPr>
        <w:pStyle w:val="NormalWeb"/>
        <w:spacing w:before="0" w:beforeAutospacing="0" w:after="0" w:afterAutospacing="0" w:line="480" w:lineRule="auto"/>
        <w:rPr>
          <w:color w:val="0E101A"/>
        </w:rPr>
      </w:pPr>
      <w:r>
        <w:rPr>
          <w:color w:val="0E101A"/>
        </w:rPr>
        <w:br w:type="page"/>
      </w:r>
    </w:p>
    <w:p w14:paraId="1E282C7C" w14:textId="060DA4D9" w:rsidR="00BF192D" w:rsidRPr="00B5281B" w:rsidRDefault="00BF192D" w:rsidP="00B5281B">
      <w:pPr>
        <w:pStyle w:val="NormalWeb"/>
        <w:spacing w:before="0" w:beforeAutospacing="0" w:after="0" w:afterAutospacing="0" w:line="480" w:lineRule="auto"/>
        <w:rPr>
          <w:color w:val="0E101A"/>
        </w:rPr>
      </w:pPr>
    </w:p>
    <w:p w14:paraId="77E5437A" w14:textId="3828D0CF" w:rsidR="00034FB7" w:rsidRPr="00034FB7" w:rsidRDefault="00034FB7" w:rsidP="00BF192D">
      <w:pPr>
        <w:pStyle w:val="Heading1"/>
        <w:spacing w:line="240" w:lineRule="auto"/>
      </w:pPr>
      <w:bookmarkStart w:id="15" w:name="_Toc69040193"/>
      <w:r>
        <w:t>Bibliography</w:t>
      </w:r>
      <w:bookmarkEnd w:id="15"/>
    </w:p>
    <w:p w14:paraId="44FC02DF" w14:textId="1F218128" w:rsidR="00FB6365" w:rsidRDefault="00034FB7" w:rsidP="00BF192D">
      <w:pPr>
        <w:spacing w:line="240" w:lineRule="auto"/>
        <w:ind w:left="720" w:hanging="720"/>
      </w:pPr>
      <w:r w:rsidRPr="00034FB7">
        <w:t xml:space="preserve">Richards, E. Randolph, and Brandon J. O’Brien. </w:t>
      </w:r>
      <w:bookmarkStart w:id="16" w:name="_Hlk68985801"/>
      <w:r w:rsidRPr="00034FB7">
        <w:rPr>
          <w:i/>
          <w:iCs/>
        </w:rPr>
        <w:t xml:space="preserve">Misreading Scripture </w:t>
      </w:r>
      <w:r w:rsidR="00DB511C" w:rsidRPr="00034FB7">
        <w:rPr>
          <w:i/>
          <w:iCs/>
        </w:rPr>
        <w:t>with</w:t>
      </w:r>
      <w:r w:rsidRPr="00034FB7">
        <w:rPr>
          <w:i/>
          <w:iCs/>
        </w:rPr>
        <w:t xml:space="preserve"> Western Eyes</w:t>
      </w:r>
      <w:r w:rsidR="000E4023">
        <w:rPr>
          <w:i/>
          <w:iCs/>
        </w:rPr>
        <w:t>:</w:t>
      </w:r>
      <w:r w:rsidRPr="00034FB7">
        <w:t xml:space="preserve"> </w:t>
      </w:r>
      <w:r w:rsidR="000E4023" w:rsidRPr="000E4023">
        <w:rPr>
          <w:i/>
          <w:iCs/>
        </w:rPr>
        <w:t>Removing Cultural Blinders to Better Understand the Bible</w:t>
      </w:r>
      <w:r w:rsidR="000E4023">
        <w:t>.</w:t>
      </w:r>
      <w:r w:rsidRPr="00034FB7">
        <w:t xml:space="preserve"> </w:t>
      </w:r>
      <w:bookmarkEnd w:id="16"/>
      <w:r w:rsidRPr="00034FB7">
        <w:t>Downer Groves, IL:  InterVarsity Press, 2012</w:t>
      </w:r>
      <w:r w:rsidR="000E4023">
        <w:t>.</w:t>
      </w:r>
    </w:p>
    <w:sectPr w:rsidR="00FB6365"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62F16F" w14:textId="77777777" w:rsidR="001E21C4" w:rsidRDefault="001E21C4" w:rsidP="00DF7AA0">
      <w:pPr>
        <w:spacing w:line="240" w:lineRule="auto"/>
      </w:pPr>
      <w:r>
        <w:separator/>
      </w:r>
    </w:p>
  </w:endnote>
  <w:endnote w:type="continuationSeparator" w:id="0">
    <w:p w14:paraId="0638EDB8" w14:textId="77777777" w:rsidR="001E21C4" w:rsidRDefault="001E21C4"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D77C679" w14:textId="77777777" w:rsidR="00A36B5C" w:rsidRDefault="00A36B5C">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A36B5C" w:rsidRDefault="00A36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9D962" w14:textId="77777777" w:rsidR="00A36B5C" w:rsidRPr="000270DC" w:rsidRDefault="00A36B5C"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0E51C" w14:textId="77777777" w:rsidR="00A36B5C" w:rsidRPr="004B3ACC" w:rsidRDefault="00A36B5C"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A36B5C" w:rsidRDefault="00A36B5C"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B727129" w14:textId="77777777" w:rsidR="00A36B5C" w:rsidRDefault="001E21C4"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3388E6" w14:textId="77777777" w:rsidR="001E21C4" w:rsidRDefault="001E21C4" w:rsidP="00DF7AA0">
      <w:pPr>
        <w:spacing w:line="240" w:lineRule="auto"/>
      </w:pPr>
      <w:r>
        <w:separator/>
      </w:r>
    </w:p>
  </w:footnote>
  <w:footnote w:type="continuationSeparator" w:id="0">
    <w:p w14:paraId="10EC3188" w14:textId="77777777" w:rsidR="001E21C4" w:rsidRDefault="001E21C4" w:rsidP="00DF7AA0">
      <w:pPr>
        <w:spacing w:line="240" w:lineRule="auto"/>
      </w:pPr>
      <w:r>
        <w:continuationSeparator/>
      </w:r>
    </w:p>
  </w:footnote>
  <w:footnote w:id="1">
    <w:p w14:paraId="2C956BCC" w14:textId="77777777" w:rsidR="00BF192D" w:rsidRDefault="00BF192D" w:rsidP="00BF192D">
      <w:pPr>
        <w:pStyle w:val="FootnoteText"/>
      </w:pPr>
      <w:r>
        <w:rPr>
          <w:rStyle w:val="FootnoteReference"/>
        </w:rPr>
        <w:footnoteRef/>
      </w:r>
      <w:r>
        <w:t xml:space="preserve"> Randolph </w:t>
      </w:r>
      <w:r w:rsidRPr="00034FB7">
        <w:t>E.</w:t>
      </w:r>
      <w:r>
        <w:t xml:space="preserve"> </w:t>
      </w:r>
      <w:r w:rsidRPr="00034FB7">
        <w:t xml:space="preserve">Richards, and Brandon J. O’Brien. </w:t>
      </w:r>
      <w:r w:rsidRPr="00034FB7">
        <w:rPr>
          <w:i/>
          <w:iCs/>
        </w:rPr>
        <w:t>Misreading Scripture with Western Eyes</w:t>
      </w:r>
      <w:r>
        <w:rPr>
          <w:i/>
          <w:iCs/>
        </w:rPr>
        <w:t>:</w:t>
      </w:r>
      <w:r w:rsidRPr="007D4695">
        <w:rPr>
          <w:i/>
          <w:iCs/>
        </w:rPr>
        <w:t xml:space="preserve"> </w:t>
      </w:r>
      <w:r w:rsidRPr="000E4023">
        <w:rPr>
          <w:i/>
          <w:iCs/>
        </w:rPr>
        <w:t>Removing Cultural Blinders to Better Understand the Bible</w:t>
      </w:r>
      <w:r>
        <w:rPr>
          <w:i/>
          <w:iCs/>
        </w:rPr>
        <w:t xml:space="preserve"> </w:t>
      </w:r>
      <w:r w:rsidRPr="00043AB0">
        <w:t>(</w:t>
      </w:r>
      <w:r w:rsidRPr="00034FB7">
        <w:t>Downer Groves, IL:  InterVarsity Press, 2012</w:t>
      </w:r>
      <w:r>
        <w:t>), 27.</w:t>
      </w:r>
    </w:p>
  </w:footnote>
  <w:footnote w:id="2">
    <w:p w14:paraId="14453881" w14:textId="77777777" w:rsidR="00BF192D" w:rsidRDefault="00BF192D" w:rsidP="00BF192D">
      <w:pPr>
        <w:spacing w:line="240" w:lineRule="auto"/>
        <w:ind w:firstLine="720"/>
      </w:pPr>
      <w:r>
        <w:rPr>
          <w:rStyle w:val="FootnoteReference"/>
        </w:rPr>
        <w:footnoteRef/>
      </w:r>
      <w:r>
        <w:t xml:space="preserve"> Ibid., 29.</w:t>
      </w:r>
    </w:p>
    <w:p w14:paraId="3E95764B" w14:textId="77777777" w:rsidR="00BF192D" w:rsidRDefault="00BF192D" w:rsidP="00BF192D">
      <w:pPr>
        <w:pStyle w:val="FootnoteText"/>
      </w:pPr>
    </w:p>
  </w:footnote>
  <w:footnote w:id="3">
    <w:p w14:paraId="3EF95C22" w14:textId="77777777" w:rsidR="00BF192D" w:rsidRDefault="00BF192D" w:rsidP="00BF192D">
      <w:pPr>
        <w:pStyle w:val="FootnoteText"/>
      </w:pPr>
      <w:r>
        <w:rPr>
          <w:rStyle w:val="FootnoteReference"/>
        </w:rPr>
        <w:footnoteRef/>
      </w:r>
      <w:r>
        <w:t xml:space="preserve"> Ibid., 29.</w:t>
      </w:r>
    </w:p>
  </w:footnote>
  <w:footnote w:id="4">
    <w:p w14:paraId="53024F5B" w14:textId="77777777" w:rsidR="00BF192D" w:rsidRDefault="00BF192D" w:rsidP="00BF192D">
      <w:pPr>
        <w:pStyle w:val="FootnoteText"/>
      </w:pPr>
      <w:r>
        <w:rPr>
          <w:rStyle w:val="FootnoteReference"/>
        </w:rPr>
        <w:footnoteRef/>
      </w:r>
      <w:r>
        <w:t xml:space="preserve"> Ibid., 48.</w:t>
      </w:r>
    </w:p>
  </w:footnote>
  <w:footnote w:id="5">
    <w:p w14:paraId="262130FF" w14:textId="77777777" w:rsidR="00BF192D" w:rsidRDefault="00BF192D" w:rsidP="00BF192D">
      <w:pPr>
        <w:pStyle w:val="FootnoteText"/>
      </w:pPr>
      <w:r>
        <w:rPr>
          <w:rStyle w:val="FootnoteReference"/>
        </w:rPr>
        <w:footnoteRef/>
      </w:r>
      <w:r>
        <w:t xml:space="preserve"> Ibid., 49.</w:t>
      </w:r>
    </w:p>
  </w:footnote>
  <w:footnote w:id="6">
    <w:p w14:paraId="01FEED1C" w14:textId="77777777" w:rsidR="00BF192D" w:rsidRDefault="00BF192D" w:rsidP="00BF192D">
      <w:pPr>
        <w:pStyle w:val="FootnoteText"/>
      </w:pPr>
      <w:r>
        <w:rPr>
          <w:rStyle w:val="FootnoteReference"/>
        </w:rPr>
        <w:footnoteRef/>
      </w:r>
      <w:r>
        <w:t xml:space="preserve"> Ibid., 59.</w:t>
      </w:r>
    </w:p>
  </w:footnote>
  <w:footnote w:id="7">
    <w:p w14:paraId="43D78B40" w14:textId="77777777" w:rsidR="00BF192D" w:rsidRDefault="00BF192D" w:rsidP="00BF192D">
      <w:pPr>
        <w:pStyle w:val="FootnoteText"/>
      </w:pPr>
      <w:r>
        <w:rPr>
          <w:rStyle w:val="FootnoteReference"/>
        </w:rPr>
        <w:footnoteRef/>
      </w:r>
      <w:r>
        <w:t xml:space="preserve"> Ibid., 59.</w:t>
      </w:r>
    </w:p>
  </w:footnote>
  <w:footnote w:id="8">
    <w:p w14:paraId="732DBA9E" w14:textId="77777777" w:rsidR="00BF192D" w:rsidRDefault="00BF192D" w:rsidP="00BF192D">
      <w:pPr>
        <w:pStyle w:val="FootnoteText"/>
      </w:pPr>
      <w:r>
        <w:rPr>
          <w:rStyle w:val="FootnoteReference"/>
        </w:rPr>
        <w:footnoteRef/>
      </w:r>
      <w:r>
        <w:t xml:space="preserve"> Ibid., 72.</w:t>
      </w:r>
    </w:p>
  </w:footnote>
  <w:footnote w:id="9">
    <w:p w14:paraId="1AB2EFB1" w14:textId="77777777" w:rsidR="00BF192D" w:rsidRDefault="00BF192D" w:rsidP="00BF192D">
      <w:pPr>
        <w:pStyle w:val="FootnoteText"/>
      </w:pPr>
      <w:r>
        <w:rPr>
          <w:rStyle w:val="FootnoteReference"/>
        </w:rPr>
        <w:footnoteRef/>
      </w:r>
      <w:r>
        <w:t xml:space="preserve"> Ibid., 89.</w:t>
      </w:r>
    </w:p>
  </w:footnote>
  <w:footnote w:id="10">
    <w:p w14:paraId="0881872C" w14:textId="77777777" w:rsidR="00BF192D" w:rsidRDefault="00BF192D" w:rsidP="00BF192D">
      <w:pPr>
        <w:pStyle w:val="FootnoteText"/>
      </w:pPr>
      <w:r>
        <w:rPr>
          <w:rStyle w:val="FootnoteReference"/>
        </w:rPr>
        <w:footnoteRef/>
      </w:r>
      <w:r>
        <w:t xml:space="preserve"> Ibid., 116.</w:t>
      </w:r>
    </w:p>
  </w:footnote>
  <w:footnote w:id="11">
    <w:p w14:paraId="60FCA7AA" w14:textId="77777777" w:rsidR="00BF192D" w:rsidRDefault="00BF192D" w:rsidP="00BF192D">
      <w:pPr>
        <w:pStyle w:val="FootnoteText"/>
      </w:pPr>
      <w:r>
        <w:rPr>
          <w:rStyle w:val="FootnoteReference"/>
        </w:rPr>
        <w:footnoteRef/>
      </w:r>
      <w:r>
        <w:t xml:space="preserve"> Ibid., 138.</w:t>
      </w:r>
    </w:p>
  </w:footnote>
  <w:footnote w:id="12">
    <w:p w14:paraId="063504A0" w14:textId="77777777" w:rsidR="00BF192D" w:rsidRDefault="00BF192D" w:rsidP="00BF192D">
      <w:pPr>
        <w:pStyle w:val="FootnoteText"/>
      </w:pPr>
      <w:r>
        <w:rPr>
          <w:rStyle w:val="FootnoteReference"/>
        </w:rPr>
        <w:footnoteRef/>
      </w:r>
      <w:r>
        <w:t xml:space="preserve"> Ibid., 140.</w:t>
      </w:r>
    </w:p>
  </w:footnote>
  <w:footnote w:id="13">
    <w:p w14:paraId="1A404BB7" w14:textId="77777777" w:rsidR="00BF192D" w:rsidRDefault="00BF192D" w:rsidP="00BF192D">
      <w:pPr>
        <w:pStyle w:val="FootnoteText"/>
      </w:pPr>
      <w:r>
        <w:rPr>
          <w:rStyle w:val="FootnoteReference"/>
        </w:rPr>
        <w:footnoteRef/>
      </w:r>
      <w:r>
        <w:t xml:space="preserve"> Ibid., 159.</w:t>
      </w:r>
    </w:p>
  </w:footnote>
  <w:footnote w:id="14">
    <w:p w14:paraId="7959C92C" w14:textId="77777777" w:rsidR="00B5281B" w:rsidRDefault="00B5281B" w:rsidP="00B5281B">
      <w:pPr>
        <w:pStyle w:val="FootnoteText"/>
      </w:pPr>
      <w:r>
        <w:rPr>
          <w:rStyle w:val="FootnoteReference"/>
        </w:rPr>
        <w:footnoteRef/>
      </w:r>
      <w:r>
        <w:t xml:space="preserve"> Ibid., 179.</w:t>
      </w:r>
    </w:p>
  </w:footnote>
  <w:footnote w:id="15">
    <w:p w14:paraId="5D949BE8" w14:textId="5DB680FB" w:rsidR="00B5281B" w:rsidRDefault="00B5281B">
      <w:pPr>
        <w:pStyle w:val="FootnoteText"/>
      </w:pPr>
      <w:r>
        <w:rPr>
          <w:rStyle w:val="FootnoteReference"/>
        </w:rPr>
        <w:footnoteRef/>
      </w:r>
      <w:r>
        <w:t xml:space="preserve"> Ibid., 180.</w:t>
      </w:r>
    </w:p>
  </w:footnote>
  <w:footnote w:id="16">
    <w:p w14:paraId="1A540B97" w14:textId="77777777" w:rsidR="00B5281B" w:rsidRDefault="00B5281B" w:rsidP="00B5281B">
      <w:pPr>
        <w:pStyle w:val="FootnoteText"/>
      </w:pPr>
      <w:r>
        <w:rPr>
          <w:rStyle w:val="FootnoteReference"/>
        </w:rPr>
        <w:footnoteRef/>
      </w:r>
      <w:r>
        <w:t xml:space="preserve"> Ibid., 113.</w:t>
      </w:r>
    </w:p>
  </w:footnote>
  <w:footnote w:id="17">
    <w:p w14:paraId="4EACE4F3" w14:textId="77777777" w:rsidR="00B5281B" w:rsidRDefault="00B5281B" w:rsidP="00B5281B">
      <w:pPr>
        <w:pStyle w:val="FootnoteText"/>
      </w:pPr>
      <w:r>
        <w:rPr>
          <w:rStyle w:val="FootnoteReference"/>
        </w:rPr>
        <w:footnoteRef/>
      </w:r>
      <w:r>
        <w:t xml:space="preserve"> Ibid., 192.</w:t>
      </w:r>
    </w:p>
    <w:p w14:paraId="59D82527" w14:textId="77777777" w:rsidR="00B5281B" w:rsidRDefault="00B5281B" w:rsidP="00B5281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3F24C" w14:textId="77777777" w:rsidR="00A36B5C" w:rsidRDefault="00A36B5C" w:rsidP="00A36B5C">
    <w:pPr>
      <w:pStyle w:val="Header"/>
    </w:pPr>
  </w:p>
  <w:p w14:paraId="20D2F014" w14:textId="77777777" w:rsidR="00A36B5C" w:rsidRDefault="00A36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11D6F486" w14:textId="77777777" w:rsidR="00A36B5C" w:rsidRDefault="00A36B5C">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A36B5C" w:rsidRPr="00DA0F88" w:rsidRDefault="00A36B5C"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7CB8"/>
    <w:rsid w:val="0002502F"/>
    <w:rsid w:val="00034FB7"/>
    <w:rsid w:val="00043AB0"/>
    <w:rsid w:val="000E4023"/>
    <w:rsid w:val="000E71D0"/>
    <w:rsid w:val="001517D4"/>
    <w:rsid w:val="001918B7"/>
    <w:rsid w:val="001E21C4"/>
    <w:rsid w:val="00200FB2"/>
    <w:rsid w:val="00225731"/>
    <w:rsid w:val="002436AE"/>
    <w:rsid w:val="0027174F"/>
    <w:rsid w:val="0028139A"/>
    <w:rsid w:val="0029427D"/>
    <w:rsid w:val="002A6EBA"/>
    <w:rsid w:val="002B7C8F"/>
    <w:rsid w:val="002E7E45"/>
    <w:rsid w:val="002F1A0E"/>
    <w:rsid w:val="0030455F"/>
    <w:rsid w:val="00315304"/>
    <w:rsid w:val="00386962"/>
    <w:rsid w:val="003C7C2B"/>
    <w:rsid w:val="003D7449"/>
    <w:rsid w:val="004B6460"/>
    <w:rsid w:val="004C16F7"/>
    <w:rsid w:val="005449C8"/>
    <w:rsid w:val="0056238C"/>
    <w:rsid w:val="00582358"/>
    <w:rsid w:val="005E7F5F"/>
    <w:rsid w:val="00626AE7"/>
    <w:rsid w:val="00644045"/>
    <w:rsid w:val="00651F02"/>
    <w:rsid w:val="00674502"/>
    <w:rsid w:val="00684DC2"/>
    <w:rsid w:val="00686170"/>
    <w:rsid w:val="00690AD8"/>
    <w:rsid w:val="00702616"/>
    <w:rsid w:val="00734DE7"/>
    <w:rsid w:val="007D4695"/>
    <w:rsid w:val="007E71EC"/>
    <w:rsid w:val="007F40D8"/>
    <w:rsid w:val="00805553"/>
    <w:rsid w:val="00820707"/>
    <w:rsid w:val="00823597"/>
    <w:rsid w:val="00890311"/>
    <w:rsid w:val="008D15F2"/>
    <w:rsid w:val="009313F2"/>
    <w:rsid w:val="00934FC4"/>
    <w:rsid w:val="00952A14"/>
    <w:rsid w:val="009B146E"/>
    <w:rsid w:val="009C136E"/>
    <w:rsid w:val="009E46B4"/>
    <w:rsid w:val="00A07CBC"/>
    <w:rsid w:val="00A36B5C"/>
    <w:rsid w:val="00A43B4D"/>
    <w:rsid w:val="00A46DDD"/>
    <w:rsid w:val="00A70787"/>
    <w:rsid w:val="00A70889"/>
    <w:rsid w:val="00AE1E2E"/>
    <w:rsid w:val="00AF315F"/>
    <w:rsid w:val="00AF3CDD"/>
    <w:rsid w:val="00B12AB0"/>
    <w:rsid w:val="00B334E6"/>
    <w:rsid w:val="00B34C91"/>
    <w:rsid w:val="00B5281B"/>
    <w:rsid w:val="00B71094"/>
    <w:rsid w:val="00B710BD"/>
    <w:rsid w:val="00BA0AEE"/>
    <w:rsid w:val="00BB06A1"/>
    <w:rsid w:val="00BF0EF0"/>
    <w:rsid w:val="00BF192D"/>
    <w:rsid w:val="00BF7136"/>
    <w:rsid w:val="00C6173E"/>
    <w:rsid w:val="00C75AB6"/>
    <w:rsid w:val="00C97BB9"/>
    <w:rsid w:val="00CA57AA"/>
    <w:rsid w:val="00CE489C"/>
    <w:rsid w:val="00D072C2"/>
    <w:rsid w:val="00D42D66"/>
    <w:rsid w:val="00DB45AF"/>
    <w:rsid w:val="00DB511C"/>
    <w:rsid w:val="00DF7AA0"/>
    <w:rsid w:val="00E00E78"/>
    <w:rsid w:val="00E87FD4"/>
    <w:rsid w:val="00EC1723"/>
    <w:rsid w:val="00F056A2"/>
    <w:rsid w:val="00F065E7"/>
    <w:rsid w:val="00F228DC"/>
    <w:rsid w:val="00F25F1C"/>
    <w:rsid w:val="00FB6365"/>
    <w:rsid w:val="00FF1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DF7AA0"/>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AA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Strong">
    <w:name w:val="Strong"/>
    <w:basedOn w:val="DefaultParagraphFont"/>
    <w:uiPriority w:val="22"/>
    <w:qFormat/>
    <w:rsid w:val="00A70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860747">
      <w:bodyDiv w:val="1"/>
      <w:marLeft w:val="0"/>
      <w:marRight w:val="0"/>
      <w:marTop w:val="0"/>
      <w:marBottom w:val="0"/>
      <w:divBdr>
        <w:top w:val="none" w:sz="0" w:space="0" w:color="auto"/>
        <w:left w:val="none" w:sz="0" w:space="0" w:color="auto"/>
        <w:bottom w:val="none" w:sz="0" w:space="0" w:color="auto"/>
        <w:right w:val="none" w:sz="0" w:space="0" w:color="auto"/>
      </w:divBdr>
    </w:div>
    <w:div w:id="29433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9</Pages>
  <Words>1456</Words>
  <Characters>8304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7</cp:revision>
  <dcterms:created xsi:type="dcterms:W3CDTF">2021-04-10T15:10:00Z</dcterms:created>
  <dcterms:modified xsi:type="dcterms:W3CDTF">2021-04-11T22:05:00Z</dcterms:modified>
</cp:coreProperties>
</file>