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D2F52A" w14:textId="15D6EE79" w:rsidR="00CB3C96" w:rsidRPr="009A7B06" w:rsidRDefault="00CB3C96" w:rsidP="00A85A1D">
      <w:pPr>
        <w:jc w:val="center"/>
        <w:rPr>
          <w:rFonts w:ascii="Times New Roman" w:hAnsi="Times New Roman" w:cs="Times New Roman"/>
          <w:b/>
          <w:bCs/>
          <w:sz w:val="24"/>
          <w:szCs w:val="24"/>
        </w:rPr>
      </w:pPr>
      <w:r w:rsidRPr="009A7B06">
        <w:rPr>
          <w:rFonts w:ascii="Times New Roman" w:hAnsi="Times New Roman" w:cs="Times New Roman"/>
          <w:b/>
          <w:bCs/>
          <w:sz w:val="24"/>
          <w:szCs w:val="24"/>
        </w:rPr>
        <w:t>Discussion: Contexts for Hermeneutics, Question 2</w:t>
      </w:r>
    </w:p>
    <w:p w14:paraId="614A9541" w14:textId="5A97C31F" w:rsidR="00D772EB" w:rsidRDefault="00D772EB" w:rsidP="00D772EB">
      <w:pPr>
        <w:pStyle w:val="NormalWeb"/>
        <w:spacing w:before="0" w:beforeAutospacing="0" w:after="0" w:afterAutospacing="0"/>
        <w:rPr>
          <w:color w:val="0E101A"/>
        </w:rPr>
      </w:pPr>
      <w:r>
        <w:rPr>
          <w:color w:val="0E101A"/>
        </w:rPr>
        <w:t xml:space="preserve">This discussion thread aims to define the terms “formally equivalent” and “functionally equivalent” with regard to translation theories. It also discusses which of the two is considered more “word-for-word” and which is more “thought-for-thought”? Also, the thread looks at the criteria a person should use to choose a Bible translation and respond to the quote: “If they can’t read Hebrew and Greek, then Christians should use at least 2 Bibles: one formal and one functional equivalent. That way they can see some of the nuances in the languages as understood by the translators.” </w:t>
      </w:r>
      <w:r w:rsidR="007908BD">
        <w:rPr>
          <w:color w:val="0E101A"/>
        </w:rPr>
        <w:t>Also</w:t>
      </w:r>
      <w:r>
        <w:rPr>
          <w:color w:val="0E101A"/>
        </w:rPr>
        <w:t>, the thread gives an opinion and reasons on whether this author agrees or disagrees with the quote. Finally, the discussion thread identifies and states the reasons for which translation I would recommend for a new believer and, also what is my favorite translation.</w:t>
      </w:r>
    </w:p>
    <w:p w14:paraId="054CC02C" w14:textId="112D5CC2" w:rsidR="00D772EB" w:rsidRDefault="00D772EB" w:rsidP="00D772EB">
      <w:pPr>
        <w:pStyle w:val="NormalWeb"/>
        <w:spacing w:before="0" w:beforeAutospacing="0" w:after="0" w:afterAutospacing="0"/>
        <w:rPr>
          <w:color w:val="0E101A"/>
        </w:rPr>
      </w:pPr>
      <w:r>
        <w:rPr>
          <w:color w:val="0E101A"/>
        </w:rPr>
        <w:t>First and foremost, the term “formally equivalent” is defined as a translation technique that prioritizes preserving the form and structure of the original text over what is the most intelligible English.</w:t>
      </w:r>
      <w:r w:rsidRPr="00D772EB">
        <w:rPr>
          <w:rStyle w:val="FootnoteReference"/>
          <w:color w:val="000000"/>
          <w:shd w:val="clear" w:color="auto" w:fill="FFFFFF"/>
        </w:rPr>
        <w:t xml:space="preserve"> </w:t>
      </w:r>
      <w:r w:rsidRPr="009A7B06">
        <w:rPr>
          <w:rStyle w:val="FootnoteReference"/>
          <w:color w:val="000000"/>
          <w:shd w:val="clear" w:color="auto" w:fill="FFFFFF"/>
        </w:rPr>
        <w:footnoteReference w:id="1"/>
      </w:r>
      <w:r>
        <w:rPr>
          <w:color w:val="0E101A"/>
        </w:rPr>
        <w:t> "Functionally equivalent" on the other hand, prioritizes clarity over grammar and syntax while still being true to the meaning of the text.</w:t>
      </w:r>
      <w:r w:rsidRPr="00D772EB">
        <w:rPr>
          <w:rStyle w:val="FootnoteReference"/>
          <w:color w:val="000000"/>
          <w:shd w:val="clear" w:color="auto" w:fill="FFFFFF"/>
        </w:rPr>
        <w:t xml:space="preserve"> </w:t>
      </w:r>
      <w:r w:rsidRPr="009A7B06">
        <w:rPr>
          <w:rStyle w:val="FootnoteReference"/>
          <w:color w:val="000000"/>
          <w:shd w:val="clear" w:color="auto" w:fill="FFFFFF"/>
        </w:rPr>
        <w:footnoteReference w:id="2"/>
      </w:r>
      <w:r>
        <w:rPr>
          <w:color w:val="0E101A"/>
        </w:rPr>
        <w:t> Comparing the two, versions that are formally equivalent consider more “word-for-word” while those that are functionally equivalent are considered more “thought-for-thought.” In a nutshell, the criterion for Bible translation is b</w:t>
      </w:r>
      <w:r w:rsidR="007908BD">
        <w:rPr>
          <w:color w:val="0E101A"/>
        </w:rPr>
        <w:t>ased</w:t>
      </w:r>
      <w:r>
        <w:rPr>
          <w:color w:val="0E101A"/>
        </w:rPr>
        <w:t xml:space="preserve"> on two things: accuracy and clarity. To get the best of both, it is advised that readers seek the Hebrew and Greek manuscripts. However, “If they can’t read Hebrew and Greek, then Christians should use at least 2 Bibles: one formal and one functional equivalent. That way they can see some of the nuances in the languages as understood by the translators.”</w:t>
      </w:r>
    </w:p>
    <w:p w14:paraId="6C751E7D" w14:textId="737C673B" w:rsidR="00D772EB" w:rsidRDefault="00D772EB" w:rsidP="00D772EB">
      <w:pPr>
        <w:pStyle w:val="NormalWeb"/>
        <w:spacing w:before="0" w:beforeAutospacing="0" w:after="0" w:afterAutospacing="0"/>
        <w:rPr>
          <w:color w:val="0E101A"/>
        </w:rPr>
      </w:pPr>
      <w:r>
        <w:rPr>
          <w:color w:val="0E101A"/>
        </w:rPr>
        <w:t>My favorite translation is the New International Version. I love NIV because it is very accurate and easy to understand. Klein and Bloomberg observe, it prioritizes neither clarity over accuracy nor accuracy over clarity but seeks to attain as much of each as possible in every passage, recognizing that sometimes one may end up being favored slightly and sometimes another.</w:t>
      </w:r>
      <w:r w:rsidRPr="00D772EB">
        <w:rPr>
          <w:rStyle w:val="FootnoteReference"/>
        </w:rPr>
        <w:t xml:space="preserve"> </w:t>
      </w:r>
      <w:r w:rsidRPr="009A7B06">
        <w:rPr>
          <w:rStyle w:val="FootnoteReference"/>
        </w:rPr>
        <w:footnoteReference w:id="3"/>
      </w:r>
      <w:r>
        <w:rPr>
          <w:color w:val="0E101A"/>
        </w:rPr>
        <w:t> </w:t>
      </w:r>
      <w:proofErr w:type="spellStart"/>
      <w:r>
        <w:rPr>
          <w:color w:val="0E101A"/>
        </w:rPr>
        <w:t>Gomola</w:t>
      </w:r>
      <w:proofErr w:type="spellEnd"/>
      <w:r>
        <w:rPr>
          <w:color w:val="0E101A"/>
        </w:rPr>
        <w:t xml:space="preserve"> says the translation kills two birds with one stone.</w:t>
      </w:r>
      <w:r w:rsidRPr="00D772EB">
        <w:rPr>
          <w:rStyle w:val="FootnoteReference"/>
        </w:rPr>
        <w:t xml:space="preserve"> </w:t>
      </w:r>
      <w:r>
        <w:rPr>
          <w:rStyle w:val="FootnoteReference"/>
        </w:rPr>
        <w:footnoteReference w:id="4"/>
      </w:r>
      <w:r>
        <w:rPr>
          <w:color w:val="0E101A"/>
        </w:rPr>
        <w:t xml:space="preserve"> Besides, the NIV is the standard version used in my church. I would want to believe that my church had good reasons for making it that way. </w:t>
      </w:r>
      <w:r w:rsidR="007908BD">
        <w:rPr>
          <w:color w:val="0E101A"/>
        </w:rPr>
        <w:t>In addition</w:t>
      </w:r>
      <w:r>
        <w:rPr>
          <w:color w:val="0E101A"/>
        </w:rPr>
        <w:t xml:space="preserve">, </w:t>
      </w:r>
      <w:r w:rsidR="007908BD">
        <w:rPr>
          <w:color w:val="0E101A"/>
        </w:rPr>
        <w:t xml:space="preserve">the NIV </w:t>
      </w:r>
      <w:r>
        <w:rPr>
          <w:color w:val="0E101A"/>
        </w:rPr>
        <w:t>is optimally equivalent and has become far and away from the translation of choice in evangelical circles.</w:t>
      </w:r>
      <w:r w:rsidRPr="00D772EB">
        <w:rPr>
          <w:rStyle w:val="FootnoteReference"/>
        </w:rPr>
        <w:t xml:space="preserve"> </w:t>
      </w:r>
      <w:r w:rsidRPr="009A7B06">
        <w:rPr>
          <w:rStyle w:val="FootnoteReference"/>
        </w:rPr>
        <w:footnoteReference w:id="5"/>
      </w:r>
      <w:r>
        <w:rPr>
          <w:color w:val="0E101A"/>
        </w:rPr>
        <w:t xml:space="preserve"> Thus, the Bible version that I would recommend for a new believer is the New International Version. </w:t>
      </w:r>
      <w:r w:rsidR="007908BD">
        <w:rPr>
          <w:color w:val="0E101A"/>
        </w:rPr>
        <w:t>Again, the</w:t>
      </w:r>
      <w:r>
        <w:rPr>
          <w:color w:val="0E101A"/>
        </w:rPr>
        <w:t xml:space="preserve"> reason is it is one of the most accurate and readable versions. Also, if the new believer is a woman, she will find the gender </w:t>
      </w:r>
      <w:r>
        <w:rPr>
          <w:color w:val="0E101A"/>
        </w:rPr>
        <w:lastRenderedPageBreak/>
        <w:t xml:space="preserve">neutrality of NIV </w:t>
      </w:r>
      <w:r w:rsidR="007908BD">
        <w:rPr>
          <w:color w:val="0E101A"/>
        </w:rPr>
        <w:t>very gender-sensitive</w:t>
      </w:r>
      <w:r>
        <w:rPr>
          <w:color w:val="0E101A"/>
        </w:rPr>
        <w:t>.</w:t>
      </w:r>
      <w:r w:rsidRPr="00D772EB">
        <w:rPr>
          <w:rStyle w:val="FootnoteReference"/>
        </w:rPr>
        <w:t xml:space="preserve"> </w:t>
      </w:r>
      <w:r>
        <w:rPr>
          <w:rStyle w:val="FootnoteReference"/>
        </w:rPr>
        <w:footnoteReference w:id="6"/>
      </w:r>
      <w:r>
        <w:rPr>
          <w:color w:val="0E101A"/>
        </w:rPr>
        <w:t> When reading it, she would feel the Bible is addressing her and not only men. </w:t>
      </w:r>
    </w:p>
    <w:p w14:paraId="50351CF6" w14:textId="77777777" w:rsidR="00D772EB" w:rsidRDefault="00D772EB">
      <w:pPr>
        <w:rPr>
          <w:rFonts w:ascii="Times New Roman" w:hAnsi="Times New Roman" w:cs="Times New Roman"/>
          <w:sz w:val="24"/>
          <w:szCs w:val="24"/>
        </w:rPr>
      </w:pPr>
    </w:p>
    <w:p w14:paraId="539EADB4" w14:textId="73AFC79F" w:rsidR="000C24D4" w:rsidRPr="009A7B06" w:rsidRDefault="000C24D4" w:rsidP="009A7B06">
      <w:pPr>
        <w:jc w:val="center"/>
        <w:rPr>
          <w:rFonts w:ascii="Times New Roman" w:hAnsi="Times New Roman" w:cs="Times New Roman"/>
          <w:sz w:val="24"/>
          <w:szCs w:val="24"/>
        </w:rPr>
      </w:pPr>
      <w:r w:rsidRPr="009A7B06">
        <w:rPr>
          <w:rFonts w:ascii="Times New Roman" w:hAnsi="Times New Roman" w:cs="Times New Roman"/>
          <w:b/>
          <w:bCs/>
          <w:sz w:val="24"/>
          <w:szCs w:val="24"/>
        </w:rPr>
        <w:t>Bibliography</w:t>
      </w:r>
    </w:p>
    <w:p w14:paraId="398A1B71" w14:textId="12AD0B94" w:rsidR="000C24D4" w:rsidRPr="009A7B06" w:rsidRDefault="000C24D4">
      <w:pPr>
        <w:rPr>
          <w:rStyle w:val="Hyperlink"/>
          <w:rFonts w:ascii="Times New Roman" w:hAnsi="Times New Roman" w:cs="Times New Roman"/>
          <w:sz w:val="24"/>
          <w:szCs w:val="24"/>
        </w:rPr>
      </w:pPr>
      <w:proofErr w:type="spellStart"/>
      <w:r w:rsidRPr="009A7B06">
        <w:rPr>
          <w:rFonts w:ascii="Times New Roman" w:hAnsi="Times New Roman" w:cs="Times New Roman"/>
          <w:sz w:val="24"/>
          <w:szCs w:val="24"/>
        </w:rPr>
        <w:t>Gomola</w:t>
      </w:r>
      <w:proofErr w:type="spellEnd"/>
      <w:r w:rsidRPr="009A7B06">
        <w:rPr>
          <w:rFonts w:ascii="Times New Roman" w:hAnsi="Times New Roman" w:cs="Times New Roman"/>
          <w:sz w:val="24"/>
          <w:szCs w:val="24"/>
        </w:rPr>
        <w:t xml:space="preserve">, Aleksander. "Aspects of </w:t>
      </w:r>
      <w:proofErr w:type="gramStart"/>
      <w:r w:rsidRPr="009A7B06">
        <w:rPr>
          <w:rFonts w:ascii="Times New Roman" w:hAnsi="Times New Roman" w:cs="Times New Roman"/>
          <w:sz w:val="24"/>
          <w:szCs w:val="24"/>
        </w:rPr>
        <w:t>Gender Neutral</w:t>
      </w:r>
      <w:proofErr w:type="gramEnd"/>
      <w:r w:rsidRPr="009A7B06">
        <w:rPr>
          <w:rFonts w:ascii="Times New Roman" w:hAnsi="Times New Roman" w:cs="Times New Roman"/>
          <w:sz w:val="24"/>
          <w:szCs w:val="24"/>
        </w:rPr>
        <w:t xml:space="preserve"> Language in Selected English and Polish Translations of the New Testament" </w:t>
      </w:r>
      <w:r w:rsidRPr="009A7B06">
        <w:rPr>
          <w:rFonts w:ascii="Times New Roman" w:hAnsi="Times New Roman" w:cs="Times New Roman"/>
          <w:i/>
          <w:iCs/>
          <w:sz w:val="24"/>
          <w:szCs w:val="24"/>
        </w:rPr>
        <w:t>Open Theology</w:t>
      </w:r>
      <w:r w:rsidRPr="009A7B06">
        <w:rPr>
          <w:rFonts w:ascii="Times New Roman" w:hAnsi="Times New Roman" w:cs="Times New Roman"/>
          <w:sz w:val="24"/>
          <w:szCs w:val="24"/>
        </w:rPr>
        <w:t xml:space="preserve">, vol. 2, no. 1, 2016. </w:t>
      </w:r>
      <w:hyperlink r:id="rId8" w:history="1">
        <w:r w:rsidRPr="009A7B06">
          <w:rPr>
            <w:rStyle w:val="Hyperlink"/>
            <w:rFonts w:ascii="Times New Roman" w:hAnsi="Times New Roman" w:cs="Times New Roman"/>
            <w:sz w:val="24"/>
            <w:szCs w:val="24"/>
          </w:rPr>
          <w:t>https://doi.org/10.1515/opth-2016-0049</w:t>
        </w:r>
      </w:hyperlink>
    </w:p>
    <w:p w14:paraId="13A1E4AA" w14:textId="44078EF4" w:rsidR="009A7B06" w:rsidRPr="009A7B06" w:rsidRDefault="009A7B06">
      <w:pPr>
        <w:rPr>
          <w:rFonts w:ascii="Times New Roman" w:hAnsi="Times New Roman" w:cs="Times New Roman"/>
          <w:sz w:val="24"/>
          <w:szCs w:val="24"/>
        </w:rPr>
      </w:pPr>
      <w:r w:rsidRPr="009A7B06">
        <w:rPr>
          <w:rFonts w:ascii="Times New Roman" w:hAnsi="Times New Roman" w:cs="Times New Roman"/>
          <w:color w:val="212529"/>
          <w:sz w:val="24"/>
          <w:szCs w:val="24"/>
          <w:shd w:val="clear" w:color="auto" w:fill="FFFFFF"/>
        </w:rPr>
        <w:t>Klein, William W., Craig L. Blomberg, and Robert L. Hubbard, Jr. </w:t>
      </w:r>
      <w:r w:rsidRPr="009A7B06">
        <w:rPr>
          <w:rStyle w:val="Emphasis"/>
          <w:rFonts w:ascii="Times New Roman" w:hAnsi="Times New Roman" w:cs="Times New Roman"/>
          <w:color w:val="212529"/>
          <w:sz w:val="24"/>
          <w:szCs w:val="24"/>
          <w:shd w:val="clear" w:color="auto" w:fill="FFFFFF"/>
        </w:rPr>
        <w:t>Introduction to Biblical Interpretation</w:t>
      </w:r>
      <w:r w:rsidRPr="009A7B06">
        <w:rPr>
          <w:rFonts w:ascii="Times New Roman" w:hAnsi="Times New Roman" w:cs="Times New Roman"/>
          <w:color w:val="212529"/>
          <w:sz w:val="24"/>
          <w:szCs w:val="24"/>
          <w:shd w:val="clear" w:color="auto" w:fill="FFFFFF"/>
        </w:rPr>
        <w:t>, 3rd ed. Grand Rapids, MI: Zondervan, 2017</w:t>
      </w:r>
      <w:r w:rsidRPr="009A7B06">
        <w:rPr>
          <w:rFonts w:ascii="Times New Roman" w:hAnsi="Times New Roman" w:cs="Times New Roman"/>
          <w:color w:val="212529"/>
          <w:sz w:val="24"/>
          <w:szCs w:val="24"/>
          <w:shd w:val="clear" w:color="auto" w:fill="FFFFFF"/>
        </w:rPr>
        <w:t>.</w:t>
      </w:r>
    </w:p>
    <w:sectPr w:rsidR="009A7B06" w:rsidRPr="009A7B0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A0DE45" w14:textId="77777777" w:rsidR="004C670B" w:rsidRDefault="004C670B" w:rsidP="00CB0016">
      <w:pPr>
        <w:spacing w:after="0" w:line="240" w:lineRule="auto"/>
      </w:pPr>
      <w:r>
        <w:separator/>
      </w:r>
    </w:p>
  </w:endnote>
  <w:endnote w:type="continuationSeparator" w:id="0">
    <w:p w14:paraId="3F2E0D51" w14:textId="77777777" w:rsidR="004C670B" w:rsidRDefault="004C670B" w:rsidP="00CB0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DC44D2" w14:textId="77777777" w:rsidR="004C670B" w:rsidRDefault="004C670B" w:rsidP="00CB0016">
      <w:pPr>
        <w:spacing w:after="0" w:line="240" w:lineRule="auto"/>
      </w:pPr>
      <w:r>
        <w:separator/>
      </w:r>
    </w:p>
  </w:footnote>
  <w:footnote w:type="continuationSeparator" w:id="0">
    <w:p w14:paraId="7843743E" w14:textId="77777777" w:rsidR="004C670B" w:rsidRDefault="004C670B" w:rsidP="00CB0016">
      <w:pPr>
        <w:spacing w:after="0" w:line="240" w:lineRule="auto"/>
      </w:pPr>
      <w:r>
        <w:continuationSeparator/>
      </w:r>
    </w:p>
  </w:footnote>
  <w:footnote w:id="1">
    <w:p w14:paraId="042CD57E" w14:textId="77777777" w:rsidR="00D772EB" w:rsidRPr="009A7B06" w:rsidRDefault="00D772EB" w:rsidP="00D772EB">
      <w:pPr>
        <w:pStyle w:val="FootnoteText"/>
        <w:spacing w:before="240"/>
        <w:ind w:firstLine="720"/>
        <w:rPr>
          <w:rFonts w:ascii="Times New Roman" w:hAnsi="Times New Roman" w:cs="Times New Roman"/>
        </w:rPr>
      </w:pPr>
      <w:r>
        <w:rPr>
          <w:rStyle w:val="FootnoteReference"/>
        </w:rPr>
        <w:footnoteRef/>
      </w:r>
      <w:r>
        <w:t xml:space="preserve"> </w:t>
      </w:r>
      <w:r w:rsidRPr="009A7B06">
        <w:rPr>
          <w:rFonts w:ascii="Times New Roman" w:hAnsi="Times New Roman" w:cs="Times New Roman"/>
          <w:color w:val="212529"/>
          <w:shd w:val="clear" w:color="auto" w:fill="FFFFFF"/>
        </w:rPr>
        <w:t>William W., Klein, Craig L. Blomberg, and Robert L. Hubbard, Jr. </w:t>
      </w:r>
      <w:r w:rsidRPr="009A7B06">
        <w:rPr>
          <w:rStyle w:val="Emphasis"/>
          <w:rFonts w:ascii="Times New Roman" w:hAnsi="Times New Roman" w:cs="Times New Roman"/>
          <w:color w:val="212529"/>
          <w:shd w:val="clear" w:color="auto" w:fill="FFFFFF"/>
        </w:rPr>
        <w:t>Introduction to Biblical Interpretation</w:t>
      </w:r>
      <w:r w:rsidRPr="009A7B06">
        <w:rPr>
          <w:rFonts w:ascii="Times New Roman" w:hAnsi="Times New Roman" w:cs="Times New Roman"/>
          <w:color w:val="212529"/>
          <w:shd w:val="clear" w:color="auto" w:fill="FFFFFF"/>
        </w:rPr>
        <w:t>, 3rd ed. (Grand Rapids, MI: Zondervan, 2017), 191.</w:t>
      </w:r>
    </w:p>
  </w:footnote>
  <w:footnote w:id="2">
    <w:p w14:paraId="38E8B069" w14:textId="77777777" w:rsidR="00D772EB" w:rsidRPr="009A7B06" w:rsidRDefault="00D772EB" w:rsidP="00D772EB">
      <w:pPr>
        <w:pStyle w:val="FootnoteText"/>
        <w:spacing w:before="240"/>
        <w:rPr>
          <w:rFonts w:ascii="Times New Roman" w:hAnsi="Times New Roman" w:cs="Times New Roman"/>
        </w:rPr>
      </w:pPr>
      <w:r w:rsidRPr="009A7B06">
        <w:rPr>
          <w:rStyle w:val="FootnoteReference"/>
          <w:rFonts w:ascii="Times New Roman" w:hAnsi="Times New Roman" w:cs="Times New Roman"/>
        </w:rPr>
        <w:footnoteRef/>
      </w:r>
      <w:r w:rsidRPr="009A7B06">
        <w:rPr>
          <w:rFonts w:ascii="Times New Roman" w:hAnsi="Times New Roman" w:cs="Times New Roman"/>
        </w:rPr>
        <w:t xml:space="preserve"> Ibid., 191.</w:t>
      </w:r>
    </w:p>
  </w:footnote>
  <w:footnote w:id="3">
    <w:p w14:paraId="02E9F33F" w14:textId="77777777" w:rsidR="00D772EB" w:rsidRPr="009A7B06" w:rsidRDefault="00D772EB" w:rsidP="00D772EB">
      <w:pPr>
        <w:pStyle w:val="FootnoteText"/>
        <w:spacing w:before="240"/>
        <w:rPr>
          <w:rFonts w:ascii="Times New Roman" w:hAnsi="Times New Roman" w:cs="Times New Roman"/>
        </w:rPr>
      </w:pPr>
      <w:r w:rsidRPr="009A7B06">
        <w:rPr>
          <w:rStyle w:val="FootnoteReference"/>
          <w:rFonts w:ascii="Times New Roman" w:hAnsi="Times New Roman" w:cs="Times New Roman"/>
        </w:rPr>
        <w:footnoteRef/>
      </w:r>
      <w:r w:rsidRPr="009A7B06">
        <w:rPr>
          <w:rFonts w:ascii="Times New Roman" w:hAnsi="Times New Roman" w:cs="Times New Roman"/>
        </w:rPr>
        <w:t xml:space="preserve"> Ibid., 191.</w:t>
      </w:r>
    </w:p>
  </w:footnote>
  <w:footnote w:id="4">
    <w:p w14:paraId="368E08B5" w14:textId="77777777" w:rsidR="00D772EB" w:rsidRDefault="00D772EB" w:rsidP="00D772EB">
      <w:pPr>
        <w:pStyle w:val="FootnoteText"/>
        <w:ind w:firstLine="720"/>
      </w:pPr>
      <w:r>
        <w:rPr>
          <w:rStyle w:val="FootnoteReference"/>
        </w:rPr>
        <w:footnoteRef/>
      </w:r>
      <w:r>
        <w:t xml:space="preserve"> </w:t>
      </w:r>
      <w:r w:rsidRPr="009A7B06">
        <w:rPr>
          <w:rFonts w:ascii="Times New Roman" w:hAnsi="Times New Roman" w:cs="Times New Roman"/>
        </w:rPr>
        <w:t xml:space="preserve">Aleksander </w:t>
      </w:r>
      <w:proofErr w:type="spellStart"/>
      <w:r w:rsidRPr="009A7B06">
        <w:rPr>
          <w:rFonts w:ascii="Times New Roman" w:hAnsi="Times New Roman" w:cs="Times New Roman"/>
        </w:rPr>
        <w:t>Gomola</w:t>
      </w:r>
      <w:proofErr w:type="spellEnd"/>
      <w:r w:rsidRPr="009A7B06">
        <w:rPr>
          <w:rFonts w:ascii="Times New Roman" w:hAnsi="Times New Roman" w:cs="Times New Roman"/>
        </w:rPr>
        <w:t xml:space="preserve">, "Aspects of </w:t>
      </w:r>
      <w:proofErr w:type="gramStart"/>
      <w:r w:rsidRPr="009A7B06">
        <w:rPr>
          <w:rFonts w:ascii="Times New Roman" w:hAnsi="Times New Roman" w:cs="Times New Roman"/>
        </w:rPr>
        <w:t>Gender Neutral</w:t>
      </w:r>
      <w:proofErr w:type="gramEnd"/>
      <w:r w:rsidRPr="009A7B06">
        <w:rPr>
          <w:rFonts w:ascii="Times New Roman" w:hAnsi="Times New Roman" w:cs="Times New Roman"/>
        </w:rPr>
        <w:t xml:space="preserve"> Language in Selected English and Polish Translations of the New Testament" </w:t>
      </w:r>
      <w:r w:rsidRPr="009A7B06">
        <w:rPr>
          <w:rFonts w:ascii="Times New Roman" w:hAnsi="Times New Roman" w:cs="Times New Roman"/>
          <w:i/>
          <w:iCs/>
        </w:rPr>
        <w:t>Open Theology</w:t>
      </w:r>
      <w:r w:rsidRPr="009A7B06">
        <w:rPr>
          <w:rFonts w:ascii="Times New Roman" w:hAnsi="Times New Roman" w:cs="Times New Roman"/>
        </w:rPr>
        <w:t>, vol. 2, no. 1 (2016), 62</w:t>
      </w:r>
      <w:r>
        <w:rPr>
          <w:rFonts w:ascii="Times New Roman" w:hAnsi="Times New Roman" w:cs="Times New Roman"/>
        </w:rPr>
        <w:t>6</w:t>
      </w:r>
      <w:r w:rsidRPr="009A7B06">
        <w:rPr>
          <w:rFonts w:ascii="Times New Roman" w:hAnsi="Times New Roman" w:cs="Times New Roman"/>
        </w:rPr>
        <w:t xml:space="preserve">. </w:t>
      </w:r>
      <w:hyperlink r:id="rId1" w:history="1">
        <w:r w:rsidRPr="009A7B06">
          <w:rPr>
            <w:rStyle w:val="Hyperlink"/>
            <w:rFonts w:ascii="Times New Roman" w:hAnsi="Times New Roman" w:cs="Times New Roman"/>
          </w:rPr>
          <w:t>https://doi.org/10.1515/opth-2016-0049</w:t>
        </w:r>
      </w:hyperlink>
    </w:p>
  </w:footnote>
  <w:footnote w:id="5">
    <w:p w14:paraId="46855C7C" w14:textId="77777777" w:rsidR="00D772EB" w:rsidRPr="009A7B06" w:rsidRDefault="00D772EB" w:rsidP="00D772EB">
      <w:pPr>
        <w:pStyle w:val="FootnoteText"/>
        <w:spacing w:before="240"/>
        <w:rPr>
          <w:rFonts w:ascii="Times New Roman" w:hAnsi="Times New Roman" w:cs="Times New Roman"/>
        </w:rPr>
      </w:pPr>
      <w:r w:rsidRPr="009A7B06">
        <w:rPr>
          <w:rStyle w:val="FootnoteReference"/>
          <w:rFonts w:ascii="Times New Roman" w:hAnsi="Times New Roman" w:cs="Times New Roman"/>
        </w:rPr>
        <w:footnoteRef/>
      </w:r>
      <w:r w:rsidRPr="009A7B06">
        <w:rPr>
          <w:rFonts w:ascii="Times New Roman" w:hAnsi="Times New Roman" w:cs="Times New Roman"/>
        </w:rPr>
        <w:t>Ibid.</w:t>
      </w:r>
      <w:r w:rsidRPr="009A7B06">
        <w:rPr>
          <w:rStyle w:val="Emphasis"/>
          <w:rFonts w:ascii="Times New Roman" w:hAnsi="Times New Roman" w:cs="Times New Roman"/>
          <w:color w:val="212529"/>
          <w:shd w:val="clear" w:color="auto" w:fill="FFFFFF"/>
        </w:rPr>
        <w:t xml:space="preserve">, </w:t>
      </w:r>
      <w:r w:rsidRPr="009A7B06">
        <w:rPr>
          <w:rStyle w:val="Emphasis"/>
          <w:rFonts w:ascii="Times New Roman" w:hAnsi="Times New Roman" w:cs="Times New Roman"/>
          <w:i w:val="0"/>
          <w:iCs w:val="0"/>
          <w:color w:val="212529"/>
          <w:shd w:val="clear" w:color="auto" w:fill="FFFFFF"/>
        </w:rPr>
        <w:t>195.</w:t>
      </w:r>
    </w:p>
  </w:footnote>
  <w:footnote w:id="6">
    <w:p w14:paraId="754F0FD9" w14:textId="77777777" w:rsidR="00D772EB" w:rsidRPr="009A7B06" w:rsidRDefault="00D772EB" w:rsidP="00D772EB">
      <w:pPr>
        <w:spacing w:before="240"/>
        <w:rPr>
          <w:rStyle w:val="Hyperlink"/>
          <w:rFonts w:ascii="Times New Roman" w:hAnsi="Times New Roman" w:cs="Times New Roman"/>
          <w:sz w:val="20"/>
          <w:szCs w:val="20"/>
        </w:rPr>
      </w:pPr>
      <w:r w:rsidRPr="009A7B06">
        <w:rPr>
          <w:rStyle w:val="FootnoteReference"/>
          <w:rFonts w:ascii="Times New Roman" w:hAnsi="Times New Roman" w:cs="Times New Roman"/>
          <w:sz w:val="20"/>
          <w:szCs w:val="20"/>
        </w:rPr>
        <w:footnoteRef/>
      </w:r>
      <w:r w:rsidRPr="009A7B06">
        <w:rPr>
          <w:rFonts w:ascii="Times New Roman" w:hAnsi="Times New Roman" w:cs="Times New Roman"/>
          <w:sz w:val="20"/>
          <w:szCs w:val="20"/>
        </w:rPr>
        <w:t xml:space="preserve"> Aleksander </w:t>
      </w:r>
      <w:proofErr w:type="spellStart"/>
      <w:r w:rsidRPr="009A7B06">
        <w:rPr>
          <w:rFonts w:ascii="Times New Roman" w:hAnsi="Times New Roman" w:cs="Times New Roman"/>
          <w:sz w:val="20"/>
          <w:szCs w:val="20"/>
        </w:rPr>
        <w:t>Gomola</w:t>
      </w:r>
      <w:proofErr w:type="spellEnd"/>
      <w:r w:rsidRPr="009A7B06">
        <w:rPr>
          <w:rFonts w:ascii="Times New Roman" w:hAnsi="Times New Roman" w:cs="Times New Roman"/>
          <w:sz w:val="20"/>
          <w:szCs w:val="20"/>
        </w:rPr>
        <w:t xml:space="preserve">, "Aspects of </w:t>
      </w:r>
      <w:proofErr w:type="gramStart"/>
      <w:r w:rsidRPr="009A7B06">
        <w:rPr>
          <w:rFonts w:ascii="Times New Roman" w:hAnsi="Times New Roman" w:cs="Times New Roman"/>
          <w:sz w:val="20"/>
          <w:szCs w:val="20"/>
        </w:rPr>
        <w:t>Gender Neutral</w:t>
      </w:r>
      <w:proofErr w:type="gramEnd"/>
      <w:r w:rsidRPr="009A7B06">
        <w:rPr>
          <w:rFonts w:ascii="Times New Roman" w:hAnsi="Times New Roman" w:cs="Times New Roman"/>
          <w:sz w:val="20"/>
          <w:szCs w:val="20"/>
        </w:rPr>
        <w:t xml:space="preserve"> Language in Selected English and Polish Translations of the New Testament" </w:t>
      </w:r>
      <w:r w:rsidRPr="009A7B06">
        <w:rPr>
          <w:rFonts w:ascii="Times New Roman" w:hAnsi="Times New Roman" w:cs="Times New Roman"/>
          <w:i/>
          <w:iCs/>
          <w:sz w:val="20"/>
          <w:szCs w:val="20"/>
        </w:rPr>
        <w:t>Open Theology</w:t>
      </w:r>
      <w:r w:rsidRPr="009A7B06">
        <w:rPr>
          <w:rFonts w:ascii="Times New Roman" w:hAnsi="Times New Roman" w:cs="Times New Roman"/>
          <w:sz w:val="20"/>
          <w:szCs w:val="20"/>
        </w:rPr>
        <w:t xml:space="preserve">, vol. 2, no. 1 (2016), 623. </w:t>
      </w:r>
      <w:hyperlink r:id="rId2" w:history="1">
        <w:r w:rsidRPr="009A7B06">
          <w:rPr>
            <w:rStyle w:val="Hyperlink"/>
            <w:rFonts w:ascii="Times New Roman" w:hAnsi="Times New Roman" w:cs="Times New Roman"/>
            <w:sz w:val="20"/>
            <w:szCs w:val="20"/>
          </w:rPr>
          <w:t>https://doi.org/10.1515/opth-2016-0049</w:t>
        </w:r>
      </w:hyperlink>
    </w:p>
    <w:p w14:paraId="751FF93B" w14:textId="77777777" w:rsidR="00D772EB" w:rsidRDefault="00D772EB" w:rsidP="00D772E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F4E08"/>
    <w:multiLevelType w:val="multilevel"/>
    <w:tmpl w:val="A0789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C96"/>
    <w:rsid w:val="000C24D4"/>
    <w:rsid w:val="001847BA"/>
    <w:rsid w:val="001920EF"/>
    <w:rsid w:val="002D1A8B"/>
    <w:rsid w:val="0038170A"/>
    <w:rsid w:val="0049388B"/>
    <w:rsid w:val="004C670B"/>
    <w:rsid w:val="005262DD"/>
    <w:rsid w:val="007908BD"/>
    <w:rsid w:val="009A7B06"/>
    <w:rsid w:val="00A85A1D"/>
    <w:rsid w:val="00CB0016"/>
    <w:rsid w:val="00CB3C96"/>
    <w:rsid w:val="00CE7205"/>
    <w:rsid w:val="00D45A07"/>
    <w:rsid w:val="00D772EB"/>
    <w:rsid w:val="00DD5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DCA4A"/>
  <w15:chartTrackingRefBased/>
  <w15:docId w15:val="{97F903E5-4A28-4DA3-937D-FFE9DA151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B00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B0016"/>
    <w:rPr>
      <w:sz w:val="20"/>
      <w:szCs w:val="20"/>
    </w:rPr>
  </w:style>
  <w:style w:type="character" w:styleId="FootnoteReference">
    <w:name w:val="footnote reference"/>
    <w:basedOn w:val="DefaultParagraphFont"/>
    <w:uiPriority w:val="99"/>
    <w:semiHidden/>
    <w:unhideWhenUsed/>
    <w:rsid w:val="00CB0016"/>
    <w:rPr>
      <w:vertAlign w:val="superscript"/>
    </w:rPr>
  </w:style>
  <w:style w:type="character" w:styleId="Emphasis">
    <w:name w:val="Emphasis"/>
    <w:basedOn w:val="DefaultParagraphFont"/>
    <w:uiPriority w:val="20"/>
    <w:qFormat/>
    <w:rsid w:val="00CB0016"/>
    <w:rPr>
      <w:i/>
      <w:iCs/>
    </w:rPr>
  </w:style>
  <w:style w:type="character" w:styleId="Hyperlink">
    <w:name w:val="Hyperlink"/>
    <w:basedOn w:val="DefaultParagraphFont"/>
    <w:uiPriority w:val="99"/>
    <w:unhideWhenUsed/>
    <w:rsid w:val="000C24D4"/>
    <w:rPr>
      <w:color w:val="0000FF"/>
      <w:u w:val="single"/>
    </w:rPr>
  </w:style>
  <w:style w:type="character" w:styleId="UnresolvedMention">
    <w:name w:val="Unresolved Mention"/>
    <w:basedOn w:val="DefaultParagraphFont"/>
    <w:uiPriority w:val="99"/>
    <w:semiHidden/>
    <w:unhideWhenUsed/>
    <w:rsid w:val="009A7B06"/>
    <w:rPr>
      <w:color w:val="605E5C"/>
      <w:shd w:val="clear" w:color="auto" w:fill="E1DFDD"/>
    </w:rPr>
  </w:style>
  <w:style w:type="paragraph" w:styleId="NormalWeb">
    <w:name w:val="Normal (Web)"/>
    <w:basedOn w:val="Normal"/>
    <w:uiPriority w:val="99"/>
    <w:semiHidden/>
    <w:unhideWhenUsed/>
    <w:rsid w:val="00D772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5145456">
      <w:bodyDiv w:val="1"/>
      <w:marLeft w:val="0"/>
      <w:marRight w:val="0"/>
      <w:marTop w:val="0"/>
      <w:marBottom w:val="0"/>
      <w:divBdr>
        <w:top w:val="none" w:sz="0" w:space="0" w:color="auto"/>
        <w:left w:val="none" w:sz="0" w:space="0" w:color="auto"/>
        <w:bottom w:val="none" w:sz="0" w:space="0" w:color="auto"/>
        <w:right w:val="none" w:sz="0" w:space="0" w:color="auto"/>
      </w:divBdr>
    </w:div>
    <w:div w:id="155046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515/opth-2016-004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doi.org/10.1515/opth-2016-0049" TargetMode="External"/><Relationship Id="rId1" Type="http://schemas.openxmlformats.org/officeDocument/2006/relationships/hyperlink" Target="https://doi.org/10.1515/opth-2016-00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6873F18-56B0-443A-AD7F-AB348072A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497</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5</cp:revision>
  <dcterms:created xsi:type="dcterms:W3CDTF">2021-04-07T19:11:00Z</dcterms:created>
  <dcterms:modified xsi:type="dcterms:W3CDTF">2021-04-07T20:55:00Z</dcterms:modified>
</cp:coreProperties>
</file>