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45ACD6" w14:textId="307D7543" w:rsidR="0069653F" w:rsidRPr="00DF65BD" w:rsidRDefault="0069653F">
      <w:pPr>
        <w:rPr>
          <w:rFonts w:ascii="Times New Roman" w:hAnsi="Times New Roman" w:cs="Times New Roman"/>
          <w:b/>
          <w:bCs/>
          <w:sz w:val="24"/>
          <w:szCs w:val="24"/>
        </w:rPr>
      </w:pPr>
      <w:r w:rsidRPr="00DF65BD">
        <w:rPr>
          <w:rFonts w:ascii="Times New Roman" w:hAnsi="Times New Roman" w:cs="Times New Roman"/>
          <w:b/>
          <w:bCs/>
          <w:sz w:val="24"/>
          <w:szCs w:val="24"/>
        </w:rPr>
        <w:t>Discussion Thread: Introduction to Hermeneutics, Question 1</w:t>
      </w:r>
    </w:p>
    <w:p w14:paraId="5F1047F6" w14:textId="3F974037" w:rsidR="00A62859" w:rsidRPr="00DF65BD" w:rsidRDefault="00A62859">
      <w:pPr>
        <w:rPr>
          <w:rFonts w:ascii="Times New Roman" w:hAnsi="Times New Roman" w:cs="Times New Roman"/>
          <w:b/>
          <w:bCs/>
          <w:sz w:val="24"/>
          <w:szCs w:val="24"/>
        </w:rPr>
      </w:pPr>
      <w:r w:rsidRPr="00DF65BD">
        <w:rPr>
          <w:rFonts w:ascii="Times New Roman" w:hAnsi="Times New Roman" w:cs="Times New Roman"/>
          <w:b/>
          <w:bCs/>
          <w:sz w:val="24"/>
          <w:szCs w:val="24"/>
        </w:rPr>
        <w:t>Definition of Hermeneutics</w:t>
      </w:r>
    </w:p>
    <w:p w14:paraId="53D0F662" w14:textId="11E63197" w:rsidR="0069653F" w:rsidRPr="00DF65BD" w:rsidRDefault="004110CD" w:rsidP="00D31BAE">
      <w:pPr>
        <w:ind w:firstLine="720"/>
        <w:rPr>
          <w:rFonts w:ascii="Times New Roman" w:hAnsi="Times New Roman" w:cs="Times New Roman"/>
          <w:sz w:val="24"/>
          <w:szCs w:val="24"/>
        </w:rPr>
      </w:pPr>
      <w:r>
        <w:rPr>
          <w:rFonts w:ascii="Times New Roman" w:hAnsi="Times New Roman" w:cs="Times New Roman"/>
          <w:sz w:val="24"/>
          <w:szCs w:val="24"/>
        </w:rPr>
        <w:t xml:space="preserve">According to Leo </w:t>
      </w:r>
      <w:proofErr w:type="spellStart"/>
      <w:r>
        <w:rPr>
          <w:rFonts w:ascii="Times New Roman" w:hAnsi="Times New Roman" w:cs="Times New Roman"/>
          <w:sz w:val="24"/>
          <w:szCs w:val="24"/>
        </w:rPr>
        <w:t>Parcer</w:t>
      </w:r>
      <w:proofErr w:type="spellEnd"/>
      <w:r>
        <w:rPr>
          <w:rFonts w:ascii="Times New Roman" w:hAnsi="Times New Roman" w:cs="Times New Roman"/>
          <w:sz w:val="24"/>
          <w:szCs w:val="24"/>
        </w:rPr>
        <w:t xml:space="preserve">, </w:t>
      </w:r>
      <w:r w:rsidR="00D31BAE">
        <w:rPr>
          <w:rFonts w:ascii="Times New Roman" w:hAnsi="Times New Roman" w:cs="Times New Roman"/>
          <w:sz w:val="24"/>
          <w:szCs w:val="24"/>
        </w:rPr>
        <w:t>h</w:t>
      </w:r>
      <w:r>
        <w:rPr>
          <w:rFonts w:ascii="Times New Roman" w:hAnsi="Times New Roman" w:cs="Times New Roman"/>
          <w:sz w:val="24"/>
          <w:szCs w:val="24"/>
        </w:rPr>
        <w:t>ermeneutics</w:t>
      </w:r>
      <w:r w:rsidR="00D31BAE">
        <w:rPr>
          <w:rFonts w:ascii="Times New Roman" w:hAnsi="Times New Roman" w:cs="Times New Roman"/>
          <w:sz w:val="24"/>
          <w:szCs w:val="24"/>
        </w:rPr>
        <w:t xml:space="preserve"> is,</w:t>
      </w:r>
      <w:r>
        <w:rPr>
          <w:rFonts w:ascii="Times New Roman" w:hAnsi="Times New Roman" w:cs="Times New Roman"/>
          <w:sz w:val="24"/>
          <w:szCs w:val="24"/>
        </w:rPr>
        <w:t xml:space="preserve"> “the art and science of interpretation.”</w:t>
      </w:r>
      <w:r>
        <w:rPr>
          <w:rStyle w:val="FootnoteReference"/>
          <w:rFonts w:ascii="Times New Roman" w:hAnsi="Times New Roman" w:cs="Times New Roman"/>
          <w:sz w:val="24"/>
          <w:szCs w:val="24"/>
        </w:rPr>
        <w:footnoteReference w:id="1"/>
      </w:r>
      <w:r w:rsidR="0069653F" w:rsidRPr="00DF65BD">
        <w:rPr>
          <w:rFonts w:ascii="Times New Roman" w:hAnsi="Times New Roman" w:cs="Times New Roman"/>
          <w:sz w:val="24"/>
          <w:szCs w:val="24"/>
        </w:rPr>
        <w:t xml:space="preserve"> </w:t>
      </w:r>
      <w:r w:rsidR="001E581F" w:rsidRPr="00DF65BD">
        <w:rPr>
          <w:rFonts w:ascii="Times New Roman" w:hAnsi="Times New Roman" w:cs="Times New Roman"/>
          <w:sz w:val="24"/>
          <w:szCs w:val="24"/>
        </w:rPr>
        <w:t xml:space="preserve">Klein et al </w:t>
      </w:r>
      <w:r w:rsidR="001E581F" w:rsidRPr="00DF65BD">
        <w:rPr>
          <w:rFonts w:ascii="Times New Roman" w:hAnsi="Times New Roman" w:cs="Times New Roman"/>
          <w:sz w:val="24"/>
          <w:szCs w:val="24"/>
        </w:rPr>
        <w:t>describe</w:t>
      </w:r>
      <w:r w:rsidR="00E54AB8">
        <w:rPr>
          <w:rFonts w:ascii="Times New Roman" w:hAnsi="Times New Roman" w:cs="Times New Roman"/>
          <w:sz w:val="24"/>
          <w:szCs w:val="24"/>
        </w:rPr>
        <w:t xml:space="preserve"> hermeneutics as</w:t>
      </w:r>
      <w:r w:rsidR="001E581F" w:rsidRPr="00DF65BD">
        <w:rPr>
          <w:rFonts w:ascii="Times New Roman" w:hAnsi="Times New Roman" w:cs="Times New Roman"/>
          <w:sz w:val="24"/>
          <w:szCs w:val="24"/>
        </w:rPr>
        <w:t xml:space="preserve"> </w:t>
      </w:r>
      <w:r w:rsidR="008A12B3">
        <w:rPr>
          <w:rFonts w:ascii="Times New Roman" w:hAnsi="Times New Roman" w:cs="Times New Roman"/>
          <w:sz w:val="24"/>
          <w:szCs w:val="24"/>
        </w:rPr>
        <w:t>“</w:t>
      </w:r>
      <w:r w:rsidR="001E581F" w:rsidRPr="00DF65BD">
        <w:rPr>
          <w:rFonts w:ascii="Times New Roman" w:hAnsi="Times New Roman" w:cs="Times New Roman"/>
          <w:sz w:val="24"/>
          <w:szCs w:val="24"/>
        </w:rPr>
        <w:t>the task of explaining the meaning of the Scriptures.</w:t>
      </w:r>
      <w:r w:rsidR="008A12B3">
        <w:rPr>
          <w:rFonts w:ascii="Times New Roman" w:hAnsi="Times New Roman" w:cs="Times New Roman"/>
          <w:sz w:val="24"/>
          <w:szCs w:val="24"/>
        </w:rPr>
        <w:t>”</w:t>
      </w:r>
      <w:r w:rsidR="00E54AB8">
        <w:rPr>
          <w:rStyle w:val="FootnoteReference"/>
          <w:rFonts w:ascii="Times New Roman" w:hAnsi="Times New Roman" w:cs="Times New Roman"/>
          <w:sz w:val="24"/>
          <w:szCs w:val="24"/>
        </w:rPr>
        <w:footnoteReference w:id="2"/>
      </w:r>
      <w:r w:rsidR="001E581F" w:rsidRPr="00DF65BD">
        <w:rPr>
          <w:rFonts w:ascii="Times New Roman" w:hAnsi="Times New Roman" w:cs="Times New Roman"/>
          <w:sz w:val="24"/>
          <w:szCs w:val="24"/>
        </w:rPr>
        <w:t xml:space="preserve"> </w:t>
      </w:r>
      <w:r w:rsidR="00E54AB8">
        <w:rPr>
          <w:rFonts w:ascii="Times New Roman" w:hAnsi="Times New Roman" w:cs="Times New Roman"/>
          <w:sz w:val="24"/>
          <w:szCs w:val="24"/>
        </w:rPr>
        <w:t>Further they posit, “</w:t>
      </w:r>
      <w:r w:rsidR="001E581F" w:rsidRPr="00DF65BD">
        <w:rPr>
          <w:rFonts w:ascii="Times New Roman" w:hAnsi="Times New Roman" w:cs="Times New Roman"/>
          <w:sz w:val="24"/>
          <w:szCs w:val="24"/>
        </w:rPr>
        <w:t xml:space="preserve">The word derives from the Greek verb </w:t>
      </w:r>
      <w:proofErr w:type="spellStart"/>
      <w:r w:rsidR="001E581F" w:rsidRPr="00DF65BD">
        <w:rPr>
          <w:rFonts w:ascii="Times New Roman" w:hAnsi="Times New Roman" w:cs="Times New Roman"/>
          <w:i/>
          <w:iCs/>
          <w:sz w:val="24"/>
          <w:szCs w:val="24"/>
        </w:rPr>
        <w:t>hermēneuō</w:t>
      </w:r>
      <w:proofErr w:type="spellEnd"/>
      <w:r w:rsidR="001E581F" w:rsidRPr="00DF65BD">
        <w:rPr>
          <w:rFonts w:ascii="Times New Roman" w:hAnsi="Times New Roman" w:cs="Times New Roman"/>
          <w:sz w:val="24"/>
          <w:szCs w:val="24"/>
        </w:rPr>
        <w:t xml:space="preserve"> that means “to explain, interpret or to translate,” while the noun </w:t>
      </w:r>
      <w:proofErr w:type="spellStart"/>
      <w:r w:rsidR="001E581F" w:rsidRPr="00DF65BD">
        <w:rPr>
          <w:rFonts w:ascii="Times New Roman" w:hAnsi="Times New Roman" w:cs="Times New Roman"/>
          <w:i/>
          <w:iCs/>
          <w:sz w:val="24"/>
          <w:szCs w:val="24"/>
        </w:rPr>
        <w:t>hermēneia</w:t>
      </w:r>
      <w:proofErr w:type="spellEnd"/>
      <w:r w:rsidR="001E581F" w:rsidRPr="00DF65BD">
        <w:rPr>
          <w:rFonts w:ascii="Times New Roman" w:hAnsi="Times New Roman" w:cs="Times New Roman"/>
          <w:sz w:val="24"/>
          <w:szCs w:val="24"/>
        </w:rPr>
        <w:t xml:space="preserve"> means “interpretation” or “translation.”</w:t>
      </w:r>
      <w:r w:rsidR="00503236" w:rsidRPr="00DF65BD">
        <w:rPr>
          <w:rStyle w:val="FootnoteReference"/>
          <w:rFonts w:ascii="Times New Roman" w:hAnsi="Times New Roman" w:cs="Times New Roman"/>
          <w:sz w:val="24"/>
          <w:szCs w:val="24"/>
        </w:rPr>
        <w:footnoteReference w:id="3"/>
      </w:r>
      <w:r w:rsidR="00503236" w:rsidRPr="00DF65BD">
        <w:rPr>
          <w:rFonts w:ascii="Times New Roman" w:hAnsi="Times New Roman" w:cs="Times New Roman"/>
          <w:sz w:val="24"/>
          <w:szCs w:val="24"/>
        </w:rPr>
        <w:t xml:space="preserve"> Klein et al further describe hermeneutics as</w:t>
      </w:r>
      <w:r w:rsidR="008A12B3">
        <w:rPr>
          <w:rFonts w:ascii="Times New Roman" w:hAnsi="Times New Roman" w:cs="Times New Roman"/>
          <w:sz w:val="24"/>
          <w:szCs w:val="24"/>
        </w:rPr>
        <w:t>, “</w:t>
      </w:r>
      <w:r w:rsidR="00503236" w:rsidRPr="00DF65BD">
        <w:rPr>
          <w:rFonts w:ascii="Times New Roman" w:hAnsi="Times New Roman" w:cs="Times New Roman"/>
          <w:sz w:val="24"/>
          <w:szCs w:val="24"/>
        </w:rPr>
        <w:t>the principles people use to understand what something means, to comprehend what a message—written, oral, or visual—is endeavoring to communicate.</w:t>
      </w:r>
      <w:r w:rsidR="008A12B3">
        <w:rPr>
          <w:rFonts w:ascii="Times New Roman" w:hAnsi="Times New Roman" w:cs="Times New Roman"/>
          <w:sz w:val="24"/>
          <w:szCs w:val="24"/>
        </w:rPr>
        <w:t>”</w:t>
      </w:r>
      <w:r w:rsidR="00503236" w:rsidRPr="00DF65BD">
        <w:rPr>
          <w:rStyle w:val="FootnoteReference"/>
          <w:rFonts w:ascii="Times New Roman" w:hAnsi="Times New Roman" w:cs="Times New Roman"/>
          <w:sz w:val="24"/>
          <w:szCs w:val="24"/>
        </w:rPr>
        <w:footnoteReference w:id="4"/>
      </w:r>
      <w:r w:rsidR="00503236" w:rsidRPr="00DF65BD">
        <w:rPr>
          <w:rFonts w:ascii="Times New Roman" w:hAnsi="Times New Roman" w:cs="Times New Roman"/>
          <w:sz w:val="24"/>
          <w:szCs w:val="24"/>
        </w:rPr>
        <w:t xml:space="preserve"> </w:t>
      </w:r>
      <w:r w:rsidR="00503236" w:rsidRPr="00DF65BD">
        <w:rPr>
          <w:rFonts w:ascii="Times New Roman" w:hAnsi="Times New Roman" w:cs="Times New Roman"/>
          <w:i/>
          <w:iCs/>
          <w:sz w:val="24"/>
          <w:szCs w:val="24"/>
        </w:rPr>
        <w:t>The Evangelical Dictionary of Theology</w:t>
      </w:r>
      <w:r w:rsidR="00503236" w:rsidRPr="00DF65BD">
        <w:rPr>
          <w:rFonts w:ascii="Times New Roman" w:hAnsi="Times New Roman" w:cs="Times New Roman"/>
          <w:sz w:val="24"/>
          <w:szCs w:val="24"/>
        </w:rPr>
        <w:t xml:space="preserve"> defines hermeneutics as “</w:t>
      </w:r>
      <w:r w:rsidR="008A12B3">
        <w:rPr>
          <w:rFonts w:ascii="Times New Roman" w:hAnsi="Times New Roman" w:cs="Times New Roman"/>
          <w:sz w:val="24"/>
          <w:szCs w:val="24"/>
        </w:rPr>
        <w:t>A</w:t>
      </w:r>
      <w:r w:rsidR="00503236" w:rsidRPr="00DF65BD">
        <w:rPr>
          <w:rFonts w:ascii="Times New Roman" w:hAnsi="Times New Roman" w:cs="Times New Roman"/>
          <w:sz w:val="24"/>
          <w:szCs w:val="24"/>
        </w:rPr>
        <w:t>n explanation of what is not immediately plain in the Bible</w:t>
      </w:r>
      <w:r w:rsidR="00503236" w:rsidRPr="00DF65BD">
        <w:rPr>
          <w:rFonts w:ascii="Times New Roman" w:hAnsi="Times New Roman" w:cs="Times New Roman"/>
          <w:sz w:val="24"/>
          <w:szCs w:val="24"/>
        </w:rPr>
        <w:t>.”</w:t>
      </w:r>
    </w:p>
    <w:p w14:paraId="0AAA7920" w14:textId="3DD7C8BC" w:rsidR="00503236" w:rsidRPr="00DF65BD" w:rsidRDefault="00A62859">
      <w:pPr>
        <w:rPr>
          <w:rFonts w:ascii="Times New Roman" w:hAnsi="Times New Roman" w:cs="Times New Roman"/>
          <w:b/>
          <w:bCs/>
          <w:sz w:val="24"/>
          <w:szCs w:val="24"/>
        </w:rPr>
      </w:pPr>
      <w:r w:rsidRPr="00DF65BD">
        <w:rPr>
          <w:rFonts w:ascii="Times New Roman" w:hAnsi="Times New Roman" w:cs="Times New Roman"/>
          <w:b/>
          <w:bCs/>
          <w:sz w:val="24"/>
          <w:szCs w:val="24"/>
        </w:rPr>
        <w:t>The importance of the role of the author of the text and what kind of impact he provides on an attempt to discover the meaning of a text.</w:t>
      </w:r>
    </w:p>
    <w:p w14:paraId="09D46844" w14:textId="12AF648C" w:rsidR="00915510" w:rsidRPr="00DF65BD" w:rsidRDefault="00A62859" w:rsidP="00915510">
      <w:pPr>
        <w:ind w:firstLine="720"/>
        <w:rPr>
          <w:rFonts w:ascii="Times New Roman" w:hAnsi="Times New Roman" w:cs="Times New Roman"/>
          <w:sz w:val="24"/>
          <w:szCs w:val="24"/>
        </w:rPr>
      </w:pPr>
      <w:r w:rsidRPr="00DF65BD">
        <w:rPr>
          <w:rFonts w:ascii="Times New Roman" w:hAnsi="Times New Roman" w:cs="Times New Roman"/>
          <w:sz w:val="24"/>
          <w:szCs w:val="24"/>
        </w:rPr>
        <w:t xml:space="preserve">Every book is written from the perspective of the author. The Bible is not any different. Therefore, to be able to understand the Bible well, it is critical to examine who the author is. </w:t>
      </w:r>
      <w:r w:rsidR="005A7680" w:rsidRPr="00DF65BD">
        <w:rPr>
          <w:rFonts w:ascii="Times New Roman" w:hAnsi="Times New Roman" w:cs="Times New Roman"/>
          <w:sz w:val="24"/>
          <w:szCs w:val="24"/>
        </w:rPr>
        <w:t xml:space="preserve">Perhaps someone would say that the </w:t>
      </w:r>
      <w:r w:rsidR="00E54AB8">
        <w:rPr>
          <w:rFonts w:ascii="Times New Roman" w:hAnsi="Times New Roman" w:cs="Times New Roman"/>
          <w:sz w:val="24"/>
          <w:szCs w:val="24"/>
        </w:rPr>
        <w:t>B</w:t>
      </w:r>
      <w:r w:rsidR="005A7680" w:rsidRPr="00DF65BD">
        <w:rPr>
          <w:rFonts w:ascii="Times New Roman" w:hAnsi="Times New Roman" w:cs="Times New Roman"/>
          <w:sz w:val="24"/>
          <w:szCs w:val="24"/>
        </w:rPr>
        <w:t>ible was inspired by the Holy Spirit</w:t>
      </w:r>
      <w:r w:rsidR="00BA0868">
        <w:rPr>
          <w:rFonts w:ascii="Times New Roman" w:hAnsi="Times New Roman" w:cs="Times New Roman"/>
          <w:sz w:val="24"/>
          <w:szCs w:val="24"/>
        </w:rPr>
        <w:t xml:space="preserve"> and so there is no need to pay attention to the authors</w:t>
      </w:r>
      <w:r w:rsidR="005A7680" w:rsidRPr="00DF65BD">
        <w:rPr>
          <w:rFonts w:ascii="Times New Roman" w:hAnsi="Times New Roman" w:cs="Times New Roman"/>
          <w:sz w:val="24"/>
          <w:szCs w:val="24"/>
        </w:rPr>
        <w:t xml:space="preserve">. </w:t>
      </w:r>
      <w:r w:rsidR="00BA0868">
        <w:rPr>
          <w:rFonts w:ascii="Times New Roman" w:hAnsi="Times New Roman" w:cs="Times New Roman"/>
          <w:sz w:val="24"/>
          <w:szCs w:val="24"/>
        </w:rPr>
        <w:t>As pious as that may sound, it is important to realize that</w:t>
      </w:r>
      <w:r w:rsidR="005A7680" w:rsidRPr="00DF65BD">
        <w:rPr>
          <w:rFonts w:ascii="Times New Roman" w:hAnsi="Times New Roman" w:cs="Times New Roman"/>
          <w:sz w:val="24"/>
          <w:szCs w:val="24"/>
        </w:rPr>
        <w:t xml:space="preserve"> The Holy Spirit</w:t>
      </w:r>
      <w:r w:rsidR="00BA0868">
        <w:rPr>
          <w:rFonts w:ascii="Times New Roman" w:hAnsi="Times New Roman" w:cs="Times New Roman"/>
          <w:sz w:val="24"/>
          <w:szCs w:val="24"/>
        </w:rPr>
        <w:t xml:space="preserve"> used</w:t>
      </w:r>
      <w:r w:rsidR="005A7680" w:rsidRPr="00DF65BD">
        <w:rPr>
          <w:rFonts w:ascii="Times New Roman" w:hAnsi="Times New Roman" w:cs="Times New Roman"/>
          <w:sz w:val="24"/>
          <w:szCs w:val="24"/>
        </w:rPr>
        <w:t xml:space="preserve"> about 40 men to write the Bible. Klein et al notes, </w:t>
      </w:r>
      <w:r w:rsidR="00915510" w:rsidRPr="00DF65BD">
        <w:rPr>
          <w:rFonts w:ascii="Times New Roman" w:hAnsi="Times New Roman" w:cs="Times New Roman"/>
          <w:sz w:val="24"/>
          <w:szCs w:val="24"/>
        </w:rPr>
        <w:t>“</w:t>
      </w:r>
      <w:r w:rsidR="008A12B3">
        <w:rPr>
          <w:rFonts w:ascii="Times New Roman" w:hAnsi="Times New Roman" w:cs="Times New Roman"/>
          <w:sz w:val="24"/>
          <w:szCs w:val="24"/>
        </w:rPr>
        <w:t>A</w:t>
      </w:r>
      <w:r w:rsidR="00915510" w:rsidRPr="00DF65BD">
        <w:rPr>
          <w:rFonts w:ascii="Times New Roman" w:hAnsi="Times New Roman" w:cs="Times New Roman"/>
          <w:sz w:val="24"/>
          <w:szCs w:val="24"/>
        </w:rPr>
        <w:t>n examination of their respective contexts (historical setting, general social values and conditions, and specific life circumstances), when known, can provide helpful information for interpretation</w:t>
      </w:r>
      <w:r w:rsidR="00915510" w:rsidRPr="00DF65BD">
        <w:rPr>
          <w:rFonts w:ascii="Times New Roman" w:hAnsi="Times New Roman" w:cs="Times New Roman"/>
          <w:sz w:val="24"/>
          <w:szCs w:val="24"/>
        </w:rPr>
        <w:t>.”</w:t>
      </w:r>
      <w:r w:rsidR="00915510" w:rsidRPr="00DF65BD">
        <w:rPr>
          <w:rStyle w:val="FootnoteReference"/>
          <w:rFonts w:ascii="Times New Roman" w:hAnsi="Times New Roman" w:cs="Times New Roman"/>
          <w:sz w:val="24"/>
          <w:szCs w:val="24"/>
        </w:rPr>
        <w:footnoteReference w:id="5"/>
      </w:r>
    </w:p>
    <w:p w14:paraId="421B7CE9" w14:textId="2BD874CA" w:rsidR="004110CD" w:rsidRDefault="00915510" w:rsidP="00915510">
      <w:pPr>
        <w:ind w:firstLine="720"/>
        <w:rPr>
          <w:rFonts w:ascii="Times New Roman" w:hAnsi="Times New Roman" w:cs="Times New Roman"/>
          <w:sz w:val="24"/>
          <w:szCs w:val="24"/>
        </w:rPr>
      </w:pPr>
      <w:r w:rsidRPr="00DF65BD">
        <w:rPr>
          <w:rFonts w:ascii="Times New Roman" w:hAnsi="Times New Roman" w:cs="Times New Roman"/>
          <w:sz w:val="24"/>
          <w:szCs w:val="24"/>
        </w:rPr>
        <w:t>The impact that the author provides on an attempt to discover the meaning of the text can be explained in many ways. First, the author</w:t>
      </w:r>
      <w:r w:rsidR="004110CD">
        <w:rPr>
          <w:rFonts w:ascii="Times New Roman" w:hAnsi="Times New Roman" w:cs="Times New Roman"/>
          <w:sz w:val="24"/>
          <w:szCs w:val="24"/>
        </w:rPr>
        <w:t>’</w:t>
      </w:r>
      <w:r w:rsidRPr="00DF65BD">
        <w:rPr>
          <w:rFonts w:ascii="Times New Roman" w:hAnsi="Times New Roman" w:cs="Times New Roman"/>
          <w:sz w:val="24"/>
          <w:szCs w:val="24"/>
        </w:rPr>
        <w:t>s purpose determines the technique he uses. Understanding his purpose enable</w:t>
      </w:r>
      <w:r w:rsidR="004110CD">
        <w:rPr>
          <w:rFonts w:ascii="Times New Roman" w:hAnsi="Times New Roman" w:cs="Times New Roman"/>
          <w:sz w:val="24"/>
          <w:szCs w:val="24"/>
        </w:rPr>
        <w:t>s</w:t>
      </w:r>
      <w:r w:rsidRPr="00DF65BD">
        <w:rPr>
          <w:rFonts w:ascii="Times New Roman" w:hAnsi="Times New Roman" w:cs="Times New Roman"/>
          <w:sz w:val="24"/>
          <w:szCs w:val="24"/>
        </w:rPr>
        <w:t xml:space="preserve"> the reader</w:t>
      </w:r>
      <w:r w:rsidR="008A12B3">
        <w:rPr>
          <w:rFonts w:ascii="Times New Roman" w:hAnsi="Times New Roman" w:cs="Times New Roman"/>
          <w:sz w:val="24"/>
          <w:szCs w:val="24"/>
        </w:rPr>
        <w:t xml:space="preserve"> to</w:t>
      </w:r>
      <w:r w:rsidRPr="00DF65BD">
        <w:rPr>
          <w:rFonts w:ascii="Times New Roman" w:hAnsi="Times New Roman" w:cs="Times New Roman"/>
          <w:sz w:val="24"/>
          <w:szCs w:val="24"/>
        </w:rPr>
        <w:t xml:space="preserve"> interpret the context of the writing. Besides, it helps the reader know why the author makes the </w:t>
      </w:r>
      <w:r w:rsidR="004110CD">
        <w:rPr>
          <w:rFonts w:ascii="Times New Roman" w:hAnsi="Times New Roman" w:cs="Times New Roman"/>
          <w:sz w:val="24"/>
          <w:szCs w:val="24"/>
        </w:rPr>
        <w:t>decisions</w:t>
      </w:r>
      <w:r w:rsidRPr="00DF65BD">
        <w:rPr>
          <w:rFonts w:ascii="Times New Roman" w:hAnsi="Times New Roman" w:cs="Times New Roman"/>
          <w:sz w:val="24"/>
          <w:szCs w:val="24"/>
        </w:rPr>
        <w:t xml:space="preserve"> that he </w:t>
      </w:r>
      <w:r w:rsidR="004110CD">
        <w:rPr>
          <w:rFonts w:ascii="Times New Roman" w:hAnsi="Times New Roman" w:cs="Times New Roman"/>
          <w:sz w:val="24"/>
          <w:szCs w:val="24"/>
        </w:rPr>
        <w:t>makes</w:t>
      </w:r>
      <w:r w:rsidRPr="00DF65BD">
        <w:rPr>
          <w:rFonts w:ascii="Times New Roman" w:hAnsi="Times New Roman" w:cs="Times New Roman"/>
          <w:sz w:val="24"/>
          <w:szCs w:val="24"/>
        </w:rPr>
        <w:t xml:space="preserve"> </w:t>
      </w:r>
      <w:r w:rsidR="00DF65BD" w:rsidRPr="00DF65BD">
        <w:rPr>
          <w:rFonts w:ascii="Times New Roman" w:hAnsi="Times New Roman" w:cs="Times New Roman"/>
          <w:sz w:val="24"/>
          <w:szCs w:val="24"/>
        </w:rPr>
        <w:t>i.e.,</w:t>
      </w:r>
      <w:r w:rsidRPr="00DF65BD">
        <w:rPr>
          <w:rFonts w:ascii="Times New Roman" w:hAnsi="Times New Roman" w:cs="Times New Roman"/>
          <w:sz w:val="24"/>
          <w:szCs w:val="24"/>
        </w:rPr>
        <w:t xml:space="preserve"> what</w:t>
      </w:r>
      <w:r w:rsidRPr="00DF65BD">
        <w:rPr>
          <w:rFonts w:ascii="Times New Roman" w:hAnsi="Times New Roman" w:cs="Times New Roman"/>
          <w:sz w:val="24"/>
          <w:szCs w:val="24"/>
        </w:rPr>
        <w:t xml:space="preserve"> information to present </w:t>
      </w:r>
      <w:r w:rsidR="00DF65BD" w:rsidRPr="00DF65BD">
        <w:rPr>
          <w:rFonts w:ascii="Times New Roman" w:hAnsi="Times New Roman" w:cs="Times New Roman"/>
          <w:sz w:val="24"/>
          <w:szCs w:val="24"/>
        </w:rPr>
        <w:t xml:space="preserve">or </w:t>
      </w:r>
      <w:r w:rsidR="004E2D2E">
        <w:rPr>
          <w:rFonts w:ascii="Times New Roman" w:hAnsi="Times New Roman" w:cs="Times New Roman"/>
          <w:sz w:val="24"/>
          <w:szCs w:val="24"/>
        </w:rPr>
        <w:t>what</w:t>
      </w:r>
      <w:r w:rsidR="00DF65BD" w:rsidRPr="00DF65BD">
        <w:rPr>
          <w:rFonts w:ascii="Times New Roman" w:hAnsi="Times New Roman" w:cs="Times New Roman"/>
          <w:sz w:val="24"/>
          <w:szCs w:val="24"/>
        </w:rPr>
        <w:t xml:space="preserve"> </w:t>
      </w:r>
      <w:r w:rsidR="004E2D2E">
        <w:rPr>
          <w:rFonts w:ascii="Times New Roman" w:hAnsi="Times New Roman" w:cs="Times New Roman"/>
          <w:sz w:val="24"/>
          <w:szCs w:val="24"/>
        </w:rPr>
        <w:t>choice of</w:t>
      </w:r>
      <w:r w:rsidR="00DF65BD" w:rsidRPr="00DF65BD">
        <w:rPr>
          <w:rFonts w:ascii="Times New Roman" w:hAnsi="Times New Roman" w:cs="Times New Roman"/>
          <w:sz w:val="24"/>
          <w:szCs w:val="24"/>
        </w:rPr>
        <w:t xml:space="preserve"> words</w:t>
      </w:r>
      <w:r w:rsidRPr="00DF65BD">
        <w:rPr>
          <w:rFonts w:ascii="Times New Roman" w:hAnsi="Times New Roman" w:cs="Times New Roman"/>
          <w:sz w:val="24"/>
          <w:szCs w:val="24"/>
        </w:rPr>
        <w:t xml:space="preserve"> to use</w:t>
      </w:r>
      <w:r w:rsidR="00DF65BD" w:rsidRPr="00DF65BD">
        <w:rPr>
          <w:rFonts w:ascii="Times New Roman" w:hAnsi="Times New Roman" w:cs="Times New Roman"/>
          <w:sz w:val="24"/>
          <w:szCs w:val="24"/>
        </w:rPr>
        <w:t>.</w:t>
      </w:r>
      <w:r w:rsidR="00DF65BD">
        <w:rPr>
          <w:rFonts w:ascii="Times New Roman" w:hAnsi="Times New Roman" w:cs="Times New Roman"/>
          <w:sz w:val="24"/>
          <w:szCs w:val="24"/>
        </w:rPr>
        <w:t xml:space="preserve"> </w:t>
      </w:r>
      <w:r w:rsidR="004E2D2E">
        <w:rPr>
          <w:rFonts w:ascii="Times New Roman" w:hAnsi="Times New Roman" w:cs="Times New Roman"/>
          <w:sz w:val="24"/>
          <w:szCs w:val="24"/>
        </w:rPr>
        <w:t>For example, in Luke 1:4, the author gives away his purpose for writing the Gospel as</w:t>
      </w:r>
      <w:r w:rsidR="008A12B3">
        <w:rPr>
          <w:rFonts w:ascii="Times New Roman" w:hAnsi="Times New Roman" w:cs="Times New Roman"/>
          <w:sz w:val="24"/>
          <w:szCs w:val="24"/>
        </w:rPr>
        <w:t>,</w:t>
      </w:r>
      <w:r w:rsidR="004E2D2E">
        <w:rPr>
          <w:rFonts w:ascii="Times New Roman" w:hAnsi="Times New Roman" w:cs="Times New Roman"/>
          <w:sz w:val="24"/>
          <w:szCs w:val="24"/>
        </w:rPr>
        <w:t xml:space="preserve"> “</w:t>
      </w:r>
      <w:r w:rsidR="008A12B3">
        <w:rPr>
          <w:rFonts w:ascii="Times New Roman" w:hAnsi="Times New Roman" w:cs="Times New Roman"/>
          <w:sz w:val="24"/>
          <w:szCs w:val="24"/>
        </w:rPr>
        <w:t>S</w:t>
      </w:r>
      <w:r w:rsidR="004E2D2E" w:rsidRPr="004E2D2E">
        <w:rPr>
          <w:rFonts w:ascii="Times New Roman" w:hAnsi="Times New Roman" w:cs="Times New Roman"/>
          <w:sz w:val="24"/>
          <w:szCs w:val="24"/>
        </w:rPr>
        <w:t>o that you may know the certainty of the things you have been taught.</w:t>
      </w:r>
      <w:r w:rsidR="004E2D2E">
        <w:rPr>
          <w:rFonts w:ascii="Times New Roman" w:hAnsi="Times New Roman" w:cs="Times New Roman"/>
          <w:sz w:val="24"/>
          <w:szCs w:val="24"/>
        </w:rPr>
        <w:t>”</w:t>
      </w:r>
      <w:r w:rsidR="004E2D2E">
        <w:rPr>
          <w:rStyle w:val="FootnoteReference"/>
          <w:rFonts w:ascii="Times New Roman" w:hAnsi="Times New Roman" w:cs="Times New Roman"/>
          <w:sz w:val="24"/>
          <w:szCs w:val="24"/>
        </w:rPr>
        <w:footnoteReference w:id="6"/>
      </w:r>
      <w:r w:rsidR="004E2D2E">
        <w:rPr>
          <w:rFonts w:ascii="Times New Roman" w:hAnsi="Times New Roman" w:cs="Times New Roman"/>
          <w:sz w:val="24"/>
          <w:szCs w:val="24"/>
        </w:rPr>
        <w:t xml:space="preserve"> In other words, Luke reveals that he intends to </w:t>
      </w:r>
      <w:r w:rsidR="004110CD">
        <w:rPr>
          <w:rFonts w:ascii="Times New Roman" w:hAnsi="Times New Roman" w:cs="Times New Roman"/>
          <w:sz w:val="24"/>
          <w:szCs w:val="24"/>
        </w:rPr>
        <w:t>convincingly inform</w:t>
      </w:r>
      <w:r w:rsidR="004E2D2E">
        <w:rPr>
          <w:rFonts w:ascii="Times New Roman" w:hAnsi="Times New Roman" w:cs="Times New Roman"/>
          <w:sz w:val="24"/>
          <w:szCs w:val="24"/>
        </w:rPr>
        <w:t xml:space="preserve"> </w:t>
      </w:r>
      <w:r w:rsidR="004110CD">
        <w:rPr>
          <w:rFonts w:ascii="Times New Roman" w:hAnsi="Times New Roman" w:cs="Times New Roman"/>
          <w:sz w:val="24"/>
          <w:szCs w:val="24"/>
        </w:rPr>
        <w:t xml:space="preserve">the reader </w:t>
      </w:r>
      <w:r w:rsidR="004E2D2E">
        <w:rPr>
          <w:rFonts w:ascii="Times New Roman" w:hAnsi="Times New Roman" w:cs="Times New Roman"/>
          <w:sz w:val="24"/>
          <w:szCs w:val="24"/>
        </w:rPr>
        <w:t xml:space="preserve">on </w:t>
      </w:r>
      <w:r w:rsidR="004E2D2E">
        <w:rPr>
          <w:rFonts w:ascii="Times New Roman" w:hAnsi="Times New Roman" w:cs="Times New Roman"/>
          <w:sz w:val="24"/>
          <w:szCs w:val="24"/>
        </w:rPr>
        <w:lastRenderedPageBreak/>
        <w:t xml:space="preserve">what transpired concerning the life of Jesus Christ. </w:t>
      </w:r>
      <w:r w:rsidR="004110CD">
        <w:rPr>
          <w:rFonts w:ascii="Times New Roman" w:hAnsi="Times New Roman" w:cs="Times New Roman"/>
          <w:sz w:val="24"/>
          <w:szCs w:val="24"/>
        </w:rPr>
        <w:t>He is prepared to present tangible evidence on the same to cast out any doubts that may arise on what they have been taught.</w:t>
      </w:r>
    </w:p>
    <w:p w14:paraId="3E1E42E6" w14:textId="110535AA" w:rsidR="004110CD" w:rsidRDefault="00BA0868" w:rsidP="00915510">
      <w:pPr>
        <w:ind w:firstLine="720"/>
        <w:rPr>
          <w:rFonts w:ascii="Times New Roman" w:hAnsi="Times New Roman" w:cs="Times New Roman"/>
          <w:sz w:val="24"/>
          <w:szCs w:val="24"/>
        </w:rPr>
      </w:pPr>
      <w:r>
        <w:rPr>
          <w:rFonts w:ascii="Times New Roman" w:hAnsi="Times New Roman" w:cs="Times New Roman"/>
          <w:sz w:val="24"/>
          <w:szCs w:val="24"/>
        </w:rPr>
        <w:t>Besides</w:t>
      </w:r>
      <w:r w:rsidR="00E54AB8">
        <w:rPr>
          <w:rFonts w:ascii="Times New Roman" w:hAnsi="Times New Roman" w:cs="Times New Roman"/>
          <w:sz w:val="24"/>
          <w:szCs w:val="24"/>
        </w:rPr>
        <w:t xml:space="preserve">, the role of the author is important as it enables the reader to know what the author said (locution), what he intended to </w:t>
      </w:r>
      <w:r w:rsidR="0013579E">
        <w:rPr>
          <w:rFonts w:ascii="Times New Roman" w:hAnsi="Times New Roman" w:cs="Times New Roman"/>
          <w:sz w:val="24"/>
          <w:szCs w:val="24"/>
        </w:rPr>
        <w:t>say (illocution</w:t>
      </w:r>
      <w:r w:rsidR="00E54AB8">
        <w:rPr>
          <w:rFonts w:ascii="Times New Roman" w:hAnsi="Times New Roman" w:cs="Times New Roman"/>
          <w:sz w:val="24"/>
          <w:szCs w:val="24"/>
        </w:rPr>
        <w:t>) and how</w:t>
      </w:r>
      <w:r w:rsidR="0013579E">
        <w:rPr>
          <w:rFonts w:ascii="Times New Roman" w:hAnsi="Times New Roman" w:cs="Times New Roman"/>
          <w:sz w:val="24"/>
          <w:szCs w:val="24"/>
        </w:rPr>
        <w:t xml:space="preserve"> he</w:t>
      </w:r>
      <w:r w:rsidR="00E54AB8">
        <w:rPr>
          <w:rFonts w:ascii="Times New Roman" w:hAnsi="Times New Roman" w:cs="Times New Roman"/>
          <w:sz w:val="24"/>
          <w:szCs w:val="24"/>
        </w:rPr>
        <w:t xml:space="preserve"> envisioned the message would be understood (perlocution).</w:t>
      </w:r>
      <w:r w:rsidR="00E54AB8">
        <w:rPr>
          <w:rStyle w:val="FootnoteReference"/>
          <w:rFonts w:ascii="Times New Roman" w:hAnsi="Times New Roman" w:cs="Times New Roman"/>
          <w:sz w:val="24"/>
          <w:szCs w:val="24"/>
        </w:rPr>
        <w:footnoteReference w:id="7"/>
      </w:r>
      <w:r w:rsidR="0013579E">
        <w:rPr>
          <w:rFonts w:ascii="Times New Roman" w:hAnsi="Times New Roman" w:cs="Times New Roman"/>
          <w:sz w:val="24"/>
          <w:szCs w:val="24"/>
        </w:rPr>
        <w:t xml:space="preserve"> In understanding the author the reader, is able to</w:t>
      </w:r>
      <w:r w:rsidR="008A12B3">
        <w:rPr>
          <w:rFonts w:ascii="Times New Roman" w:hAnsi="Times New Roman" w:cs="Times New Roman"/>
          <w:sz w:val="24"/>
          <w:szCs w:val="24"/>
        </w:rPr>
        <w:t>,</w:t>
      </w:r>
      <w:r w:rsidR="0013579E">
        <w:rPr>
          <w:rFonts w:ascii="Times New Roman" w:hAnsi="Times New Roman" w:cs="Times New Roman"/>
          <w:sz w:val="24"/>
          <w:szCs w:val="24"/>
        </w:rPr>
        <w:t xml:space="preserve"> “recreate</w:t>
      </w:r>
      <w:r w:rsidR="0013579E" w:rsidRPr="0013579E">
        <w:rPr>
          <w:rFonts w:ascii="Times New Roman" w:hAnsi="Times New Roman" w:cs="Times New Roman"/>
          <w:sz w:val="24"/>
          <w:szCs w:val="24"/>
        </w:rPr>
        <w:t xml:space="preserve"> how the writers understood things and the impact their words had on their original recipients who lacked our knowledge.</w:t>
      </w:r>
      <w:r w:rsidR="0013579E">
        <w:rPr>
          <w:rFonts w:ascii="Times New Roman" w:hAnsi="Times New Roman" w:cs="Times New Roman"/>
          <w:sz w:val="24"/>
          <w:szCs w:val="24"/>
        </w:rPr>
        <w:t>”</w:t>
      </w:r>
      <w:r w:rsidR="0013579E">
        <w:rPr>
          <w:rStyle w:val="FootnoteReference"/>
          <w:rFonts w:ascii="Times New Roman" w:hAnsi="Times New Roman" w:cs="Times New Roman"/>
          <w:sz w:val="24"/>
          <w:szCs w:val="24"/>
        </w:rPr>
        <w:footnoteReference w:id="8"/>
      </w:r>
    </w:p>
    <w:p w14:paraId="1AC2CA4E" w14:textId="44A67D23" w:rsidR="00A62859" w:rsidRPr="00DF65BD" w:rsidRDefault="004E2D2E" w:rsidP="00915510">
      <w:pPr>
        <w:ind w:firstLine="720"/>
        <w:rPr>
          <w:rFonts w:ascii="Times New Roman" w:hAnsi="Times New Roman" w:cs="Times New Roman"/>
          <w:b/>
          <w:bCs/>
          <w:sz w:val="24"/>
          <w:szCs w:val="24"/>
        </w:rPr>
      </w:pPr>
      <w:r>
        <w:rPr>
          <w:rFonts w:ascii="Times New Roman" w:hAnsi="Times New Roman" w:cs="Times New Roman"/>
          <w:sz w:val="24"/>
          <w:szCs w:val="24"/>
        </w:rPr>
        <w:t xml:space="preserve"> </w:t>
      </w:r>
    </w:p>
    <w:sectPr w:rsidR="00A62859" w:rsidRPr="00DF65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3E4BC3" w14:textId="77777777" w:rsidR="00C342BD" w:rsidRDefault="00C342BD" w:rsidP="00503236">
      <w:pPr>
        <w:spacing w:after="0" w:line="240" w:lineRule="auto"/>
      </w:pPr>
      <w:r>
        <w:separator/>
      </w:r>
    </w:p>
  </w:endnote>
  <w:endnote w:type="continuationSeparator" w:id="0">
    <w:p w14:paraId="0B26C918" w14:textId="77777777" w:rsidR="00C342BD" w:rsidRDefault="00C342BD" w:rsidP="00503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287D3C" w14:textId="77777777" w:rsidR="00C342BD" w:rsidRDefault="00C342BD" w:rsidP="00503236">
      <w:pPr>
        <w:spacing w:after="0" w:line="240" w:lineRule="auto"/>
      </w:pPr>
      <w:r>
        <w:separator/>
      </w:r>
    </w:p>
  </w:footnote>
  <w:footnote w:type="continuationSeparator" w:id="0">
    <w:p w14:paraId="055729D4" w14:textId="77777777" w:rsidR="00C342BD" w:rsidRDefault="00C342BD" w:rsidP="00503236">
      <w:pPr>
        <w:spacing w:after="0" w:line="240" w:lineRule="auto"/>
      </w:pPr>
      <w:r>
        <w:continuationSeparator/>
      </w:r>
    </w:p>
  </w:footnote>
  <w:footnote w:id="1">
    <w:p w14:paraId="09C11DED" w14:textId="35D31F36" w:rsidR="004110CD" w:rsidRPr="00E54AB8" w:rsidRDefault="004110CD" w:rsidP="00E54AB8">
      <w:pPr>
        <w:pStyle w:val="FootnoteText"/>
        <w:spacing w:before="240"/>
        <w:ind w:firstLine="720"/>
        <w:rPr>
          <w:rFonts w:ascii="Times New Roman" w:hAnsi="Times New Roman" w:cs="Times New Roman"/>
        </w:rPr>
      </w:pPr>
      <w:r>
        <w:rPr>
          <w:rStyle w:val="FootnoteReference"/>
        </w:rPr>
        <w:footnoteRef/>
      </w:r>
      <w:r w:rsidRPr="00E54AB8">
        <w:rPr>
          <w:rFonts w:ascii="Times New Roman" w:hAnsi="Times New Roman" w:cs="Times New Roman"/>
          <w:color w:val="222222"/>
          <w:shd w:val="clear" w:color="auto" w:fill="FFFFFF"/>
        </w:rPr>
        <w:t xml:space="preserve"> Leo P</w:t>
      </w:r>
      <w:r w:rsidRPr="00E54AB8">
        <w:rPr>
          <w:rFonts w:ascii="Times New Roman" w:hAnsi="Times New Roman" w:cs="Times New Roman"/>
          <w:color w:val="222222"/>
          <w:shd w:val="clear" w:color="auto" w:fill="FFFFFF"/>
        </w:rPr>
        <w:t>e</w:t>
      </w:r>
      <w:r w:rsidRPr="00E54AB8">
        <w:rPr>
          <w:rFonts w:ascii="Times New Roman" w:hAnsi="Times New Roman" w:cs="Times New Roman"/>
          <w:color w:val="222222"/>
          <w:shd w:val="clear" w:color="auto" w:fill="FFFFFF"/>
        </w:rPr>
        <w:t xml:space="preserve">rcer, “The History of Hermeneutics” (video lecture in NBST 610 at Liberty University, Lynchburg, VA, </w:t>
      </w:r>
      <w:r w:rsidRPr="00E54AB8">
        <w:rPr>
          <w:rFonts w:ascii="Times New Roman" w:hAnsi="Times New Roman" w:cs="Times New Roman"/>
          <w:color w:val="222222"/>
          <w:shd w:val="clear" w:color="auto" w:fill="FFFFFF"/>
        </w:rPr>
        <w:t>March 25</w:t>
      </w:r>
      <w:r w:rsidRPr="00E54AB8">
        <w:rPr>
          <w:rFonts w:ascii="Times New Roman" w:hAnsi="Times New Roman" w:cs="Times New Roman"/>
          <w:color w:val="222222"/>
          <w:shd w:val="clear" w:color="auto" w:fill="FFFFFF"/>
        </w:rPr>
        <w:t>, 20</w:t>
      </w:r>
      <w:r w:rsidRPr="00E54AB8">
        <w:rPr>
          <w:rFonts w:ascii="Times New Roman" w:hAnsi="Times New Roman" w:cs="Times New Roman"/>
          <w:color w:val="222222"/>
          <w:shd w:val="clear" w:color="auto" w:fill="FFFFFF"/>
        </w:rPr>
        <w:t>21</w:t>
      </w:r>
      <w:r w:rsidRPr="00E54AB8">
        <w:rPr>
          <w:rFonts w:ascii="Times New Roman" w:hAnsi="Times New Roman" w:cs="Times New Roman"/>
          <w:color w:val="222222"/>
          <w:shd w:val="clear" w:color="auto" w:fill="FFFFFF"/>
        </w:rPr>
        <w:t>).</w:t>
      </w:r>
    </w:p>
  </w:footnote>
  <w:footnote w:id="2">
    <w:p w14:paraId="576A1E7E" w14:textId="4D1BE6B1" w:rsidR="00E54AB8" w:rsidRDefault="00E54AB8" w:rsidP="00E54AB8">
      <w:pPr>
        <w:pStyle w:val="FootnoteText"/>
        <w:spacing w:before="240"/>
        <w:ind w:firstLine="720"/>
      </w:pPr>
      <w:r>
        <w:rPr>
          <w:rStyle w:val="FootnoteReference"/>
        </w:rPr>
        <w:footnoteRef/>
      </w:r>
      <w:r>
        <w:t xml:space="preserve"> </w:t>
      </w:r>
      <w:r w:rsidRPr="00E54AB8">
        <w:rPr>
          <w:rFonts w:ascii="Times New Roman" w:hAnsi="Times New Roman" w:cs="Times New Roman"/>
          <w:color w:val="212529"/>
          <w:shd w:val="clear" w:color="auto" w:fill="FFFFFF"/>
        </w:rPr>
        <w:t>William W., Klein, Cr</w:t>
      </w:r>
      <w:r w:rsidR="0013579E">
        <w:rPr>
          <w:rFonts w:ascii="Times New Roman" w:hAnsi="Times New Roman" w:cs="Times New Roman"/>
          <w:color w:val="212529"/>
          <w:shd w:val="clear" w:color="auto" w:fill="FFFFFF"/>
        </w:rPr>
        <w:t>ai</w:t>
      </w:r>
      <w:r w:rsidRPr="00E54AB8">
        <w:rPr>
          <w:rFonts w:ascii="Times New Roman" w:hAnsi="Times New Roman" w:cs="Times New Roman"/>
          <w:color w:val="212529"/>
          <w:shd w:val="clear" w:color="auto" w:fill="FFFFFF"/>
        </w:rPr>
        <w:t>g L. Blomberg, and Robert L. Hubbard, Jr. </w:t>
      </w:r>
      <w:r w:rsidRPr="00E54AB8">
        <w:rPr>
          <w:rStyle w:val="Emphasis"/>
          <w:rFonts w:ascii="Times New Roman" w:hAnsi="Times New Roman" w:cs="Times New Roman"/>
          <w:color w:val="212529"/>
          <w:shd w:val="clear" w:color="auto" w:fill="FFFFFF"/>
        </w:rPr>
        <w:t>Introduction to Biblical Interpretation</w:t>
      </w:r>
      <w:r w:rsidRPr="00E54AB8">
        <w:rPr>
          <w:rFonts w:ascii="Times New Roman" w:hAnsi="Times New Roman" w:cs="Times New Roman"/>
          <w:color w:val="212529"/>
          <w:shd w:val="clear" w:color="auto" w:fill="FFFFFF"/>
        </w:rPr>
        <w:t>, 3rd ed. (Grand Rapids, MI: Zondervan, 2017), 39</w:t>
      </w:r>
    </w:p>
  </w:footnote>
  <w:footnote w:id="3">
    <w:p w14:paraId="318C9A6A" w14:textId="33B9EDA9" w:rsidR="00503236" w:rsidRPr="00E54AB8" w:rsidRDefault="00503236" w:rsidP="004E2D2E">
      <w:pPr>
        <w:pStyle w:val="FootnoteText"/>
        <w:spacing w:before="240"/>
        <w:ind w:firstLine="720"/>
        <w:rPr>
          <w:rFonts w:ascii="Times New Roman" w:hAnsi="Times New Roman" w:cs="Times New Roman"/>
        </w:rPr>
      </w:pPr>
      <w:r w:rsidRPr="00E54AB8">
        <w:rPr>
          <w:rStyle w:val="FootnoteReference"/>
          <w:rFonts w:ascii="Times New Roman" w:hAnsi="Times New Roman" w:cs="Times New Roman"/>
        </w:rPr>
        <w:footnoteRef/>
      </w:r>
      <w:r w:rsidRPr="00E54AB8">
        <w:rPr>
          <w:rFonts w:ascii="Times New Roman" w:hAnsi="Times New Roman" w:cs="Times New Roman"/>
        </w:rPr>
        <w:t xml:space="preserve"> </w:t>
      </w:r>
      <w:r w:rsidR="00E54AB8">
        <w:rPr>
          <w:rFonts w:ascii="Times New Roman" w:hAnsi="Times New Roman" w:cs="Times New Roman"/>
        </w:rPr>
        <w:t>Ibid., 39.</w:t>
      </w:r>
    </w:p>
  </w:footnote>
  <w:footnote w:id="4">
    <w:p w14:paraId="124F11DA" w14:textId="74CB4D7E" w:rsidR="00503236" w:rsidRPr="00E54AB8" w:rsidRDefault="00503236" w:rsidP="004E2D2E">
      <w:pPr>
        <w:pStyle w:val="FootnoteText"/>
        <w:spacing w:before="240"/>
        <w:ind w:firstLine="720"/>
        <w:rPr>
          <w:rFonts w:ascii="Times New Roman" w:hAnsi="Times New Roman" w:cs="Times New Roman"/>
        </w:rPr>
      </w:pPr>
      <w:r w:rsidRPr="00E54AB8">
        <w:rPr>
          <w:rStyle w:val="FootnoteReference"/>
          <w:rFonts w:ascii="Times New Roman" w:hAnsi="Times New Roman" w:cs="Times New Roman"/>
        </w:rPr>
        <w:footnoteRef/>
      </w:r>
      <w:r w:rsidRPr="00E54AB8">
        <w:rPr>
          <w:rFonts w:ascii="Times New Roman" w:hAnsi="Times New Roman" w:cs="Times New Roman"/>
        </w:rPr>
        <w:t xml:space="preserve"> Ibid., 39.</w:t>
      </w:r>
    </w:p>
  </w:footnote>
  <w:footnote w:id="5">
    <w:p w14:paraId="00E89C2F" w14:textId="7EDF3093" w:rsidR="00915510" w:rsidRPr="00E54AB8" w:rsidRDefault="00915510" w:rsidP="004E2D2E">
      <w:pPr>
        <w:pStyle w:val="FootnoteText"/>
        <w:spacing w:before="240"/>
        <w:ind w:firstLine="720"/>
        <w:rPr>
          <w:rFonts w:ascii="Times New Roman" w:hAnsi="Times New Roman" w:cs="Times New Roman"/>
        </w:rPr>
      </w:pPr>
      <w:r w:rsidRPr="00E54AB8">
        <w:rPr>
          <w:rStyle w:val="FootnoteReference"/>
          <w:rFonts w:ascii="Times New Roman" w:hAnsi="Times New Roman" w:cs="Times New Roman"/>
        </w:rPr>
        <w:footnoteRef/>
      </w:r>
      <w:r w:rsidRPr="00E54AB8">
        <w:rPr>
          <w:rFonts w:ascii="Times New Roman" w:hAnsi="Times New Roman" w:cs="Times New Roman"/>
        </w:rPr>
        <w:t xml:space="preserve"> Ibid., 49</w:t>
      </w:r>
      <w:r w:rsidR="00E54AB8">
        <w:rPr>
          <w:rFonts w:ascii="Times New Roman" w:hAnsi="Times New Roman" w:cs="Times New Roman"/>
        </w:rPr>
        <w:t>.</w:t>
      </w:r>
    </w:p>
  </w:footnote>
  <w:footnote w:id="6">
    <w:p w14:paraId="30AE271F" w14:textId="4B3E8204" w:rsidR="004E2D2E" w:rsidRDefault="004E2D2E" w:rsidP="004E2D2E">
      <w:pPr>
        <w:pStyle w:val="FootnoteText"/>
        <w:spacing w:before="240"/>
        <w:ind w:firstLine="720"/>
      </w:pPr>
      <w:r>
        <w:rPr>
          <w:rStyle w:val="FootnoteReference"/>
        </w:rPr>
        <w:footnoteRef/>
      </w:r>
      <w:r>
        <w:t xml:space="preserve"> </w:t>
      </w:r>
      <w:r w:rsidRPr="00EB31F4">
        <w:rPr>
          <w:rFonts w:ascii="Times New Roman" w:hAnsi="Times New Roman" w:cs="Times New Roman"/>
        </w:rPr>
        <w:t xml:space="preserve">Unless otherwise noted, all biblical passages referenced are in the </w:t>
      </w:r>
      <w:r w:rsidRPr="00EB31F4">
        <w:rPr>
          <w:rFonts w:ascii="Times New Roman" w:hAnsi="Times New Roman" w:cs="Times New Roman"/>
          <w:i/>
          <w:iCs/>
        </w:rPr>
        <w:t>New International Version</w:t>
      </w:r>
      <w:r w:rsidRPr="00EB31F4">
        <w:rPr>
          <w:rFonts w:ascii="Times New Roman" w:hAnsi="Times New Roman" w:cs="Times New Roman"/>
        </w:rPr>
        <w:t xml:space="preserve"> (Grand Rapids, MI: Zondervan, 2011)</w:t>
      </w:r>
      <w:r w:rsidR="0013579E">
        <w:rPr>
          <w:rFonts w:ascii="Times New Roman" w:hAnsi="Times New Roman" w:cs="Times New Roman"/>
        </w:rPr>
        <w:t>.</w:t>
      </w:r>
    </w:p>
  </w:footnote>
  <w:footnote w:id="7">
    <w:p w14:paraId="605943EB" w14:textId="19104606" w:rsidR="00E54AB8" w:rsidRPr="0013579E" w:rsidRDefault="00E54AB8" w:rsidP="0013579E">
      <w:pPr>
        <w:pStyle w:val="FootnoteText"/>
        <w:spacing w:before="240"/>
        <w:rPr>
          <w:rFonts w:ascii="Times New Roman" w:hAnsi="Times New Roman" w:cs="Times New Roman"/>
        </w:rPr>
      </w:pPr>
      <w:r>
        <w:rPr>
          <w:rStyle w:val="FootnoteReference"/>
        </w:rPr>
        <w:footnoteRef/>
      </w:r>
      <w:r>
        <w:t xml:space="preserve"> </w:t>
      </w:r>
      <w:r w:rsidRPr="0013579E">
        <w:rPr>
          <w:rFonts w:ascii="Times New Roman" w:hAnsi="Times New Roman" w:cs="Times New Roman"/>
        </w:rPr>
        <w:t xml:space="preserve">Klein, </w:t>
      </w:r>
      <w:r w:rsidRPr="0013579E">
        <w:rPr>
          <w:rFonts w:ascii="Times New Roman" w:hAnsi="Times New Roman" w:cs="Times New Roman"/>
          <w:i/>
          <w:iCs/>
        </w:rPr>
        <w:t>Introduction to Biblical Interpretation</w:t>
      </w:r>
      <w:r w:rsidRPr="0013579E">
        <w:rPr>
          <w:rFonts w:ascii="Times New Roman" w:hAnsi="Times New Roman" w:cs="Times New Roman"/>
        </w:rPr>
        <w:t>, 45.</w:t>
      </w:r>
    </w:p>
  </w:footnote>
  <w:footnote w:id="8">
    <w:p w14:paraId="5A07662B" w14:textId="44E118C8" w:rsidR="0013579E" w:rsidRDefault="0013579E" w:rsidP="0013579E">
      <w:pPr>
        <w:pStyle w:val="FootnoteText"/>
        <w:spacing w:before="240"/>
      </w:pPr>
      <w:r w:rsidRPr="0013579E">
        <w:rPr>
          <w:rStyle w:val="FootnoteReference"/>
          <w:rFonts w:ascii="Times New Roman" w:hAnsi="Times New Roman" w:cs="Times New Roman"/>
        </w:rPr>
        <w:footnoteRef/>
      </w:r>
      <w:r w:rsidRPr="0013579E">
        <w:rPr>
          <w:rFonts w:ascii="Times New Roman" w:hAnsi="Times New Roman" w:cs="Times New Roman"/>
        </w:rPr>
        <w:t xml:space="preserve"> Ibid., 51.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1B578D"/>
    <w:multiLevelType w:val="multilevel"/>
    <w:tmpl w:val="E9B43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3F"/>
    <w:rsid w:val="0013579E"/>
    <w:rsid w:val="001E581F"/>
    <w:rsid w:val="004110CD"/>
    <w:rsid w:val="004E2D2E"/>
    <w:rsid w:val="00503236"/>
    <w:rsid w:val="005A7680"/>
    <w:rsid w:val="0069653F"/>
    <w:rsid w:val="008A12B3"/>
    <w:rsid w:val="00915510"/>
    <w:rsid w:val="00A62859"/>
    <w:rsid w:val="00BA0868"/>
    <w:rsid w:val="00C342BD"/>
    <w:rsid w:val="00CB5830"/>
    <w:rsid w:val="00D31BAE"/>
    <w:rsid w:val="00DF65BD"/>
    <w:rsid w:val="00E54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7CFF3"/>
  <w15:chartTrackingRefBased/>
  <w15:docId w15:val="{4E690CB8-2EDE-4940-AF75-999DE7F37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5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0323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03236"/>
    <w:rPr>
      <w:sz w:val="20"/>
      <w:szCs w:val="20"/>
    </w:rPr>
  </w:style>
  <w:style w:type="character" w:styleId="FootnoteReference">
    <w:name w:val="footnote reference"/>
    <w:basedOn w:val="DefaultParagraphFont"/>
    <w:uiPriority w:val="99"/>
    <w:semiHidden/>
    <w:unhideWhenUsed/>
    <w:rsid w:val="00503236"/>
    <w:rPr>
      <w:vertAlign w:val="superscript"/>
    </w:rPr>
  </w:style>
  <w:style w:type="character" w:styleId="Emphasis">
    <w:name w:val="Emphasis"/>
    <w:basedOn w:val="DefaultParagraphFont"/>
    <w:uiPriority w:val="20"/>
    <w:qFormat/>
    <w:rsid w:val="005032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47847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2A7ADD8-F99B-4697-821B-7EBF29D18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2021-03-25T17:38:00Z</dcterms:created>
  <dcterms:modified xsi:type="dcterms:W3CDTF">2021-03-25T21:34:00Z</dcterms:modified>
</cp:coreProperties>
</file>