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80696" w14:textId="77777777" w:rsidR="00303D5E" w:rsidRDefault="00303D5E" w:rsidP="00303D5E">
      <w:pPr>
        <w:pStyle w:val="NormalWeb"/>
        <w:spacing w:before="0" w:beforeAutospacing="0" w:after="0" w:afterAutospacing="0"/>
        <w:rPr>
          <w:color w:val="0E101A"/>
        </w:rPr>
      </w:pPr>
      <w:r>
        <w:rPr>
          <w:color w:val="0E101A"/>
        </w:rPr>
        <w:t xml:space="preserve">Rebecca </w:t>
      </w:r>
      <w:proofErr w:type="spellStart"/>
      <w:r>
        <w:rPr>
          <w:color w:val="0E101A"/>
        </w:rPr>
        <w:t>Pengson</w:t>
      </w:r>
      <w:proofErr w:type="spellEnd"/>
      <w:r>
        <w:rPr>
          <w:color w:val="0E101A"/>
        </w:rPr>
        <w:t>,</w:t>
      </w:r>
    </w:p>
    <w:p w14:paraId="717162C9" w14:textId="7FC1351E" w:rsidR="00303D5E" w:rsidRDefault="00303D5E" w:rsidP="00303D5E">
      <w:pPr>
        <w:pStyle w:val="NormalWeb"/>
        <w:spacing w:before="0" w:beforeAutospacing="0" w:after="0" w:afterAutospacing="0"/>
        <w:rPr>
          <w:color w:val="0E101A"/>
        </w:rPr>
      </w:pPr>
      <w:r>
        <w:rPr>
          <w:color w:val="0E101A"/>
        </w:rPr>
        <w:t xml:space="preserve">Thank you for summarizing well </w:t>
      </w:r>
      <w:r w:rsidR="000E2BD8">
        <w:rPr>
          <w:color w:val="0E101A"/>
        </w:rPr>
        <w:t>the types and elements of rhetoric</w:t>
      </w:r>
      <w:r>
        <w:rPr>
          <w:color w:val="0E101A"/>
        </w:rPr>
        <w:t>. I concur with you that the most common type of rhetoric is the deliberative type. When I study the New Testament letters, I see that they were primarily written to a specific audience (an individual or church). Besides, and as Klein et al note, “Almost all NT letters function deliberatively because a primary purpose was to tell believers how to act or how not to act.”</w:t>
      </w:r>
      <w:r w:rsidR="000E2BD8" w:rsidRPr="000E2BD8">
        <w:rPr>
          <w:rStyle w:val="FootnoteReference"/>
        </w:rPr>
        <w:t xml:space="preserve"> </w:t>
      </w:r>
      <w:r w:rsidR="000E2BD8" w:rsidRPr="00303D5E">
        <w:rPr>
          <w:rStyle w:val="FootnoteReference"/>
        </w:rPr>
        <w:footnoteReference w:id="1"/>
      </w:r>
      <w:r>
        <w:rPr>
          <w:color w:val="0E101A"/>
        </w:rPr>
        <w:t> </w:t>
      </w:r>
    </w:p>
    <w:p w14:paraId="25E79F00" w14:textId="2DC14F17" w:rsidR="00303D5E" w:rsidRDefault="00303D5E" w:rsidP="00303D5E">
      <w:pPr>
        <w:pStyle w:val="NormalWeb"/>
        <w:spacing w:before="0" w:beforeAutospacing="0" w:after="0" w:afterAutospacing="0"/>
        <w:rPr>
          <w:color w:val="0E101A"/>
        </w:rPr>
      </w:pPr>
      <w:r>
        <w:rPr>
          <w:color w:val="0E101A"/>
        </w:rPr>
        <w:t>I also agree with the reason you gave as to why an understanding of rhetoric is important to the study of the letters of the New Testament. To add, I think an understanding of rhetoric is important for the study of the letters of the New Testament because it gives us a framework to think critically concerning the New Testament letters. Klein et al observe, “Determining the rhetoric of an epistle often proves more difficult when authors mix two or three kinds together.”</w:t>
      </w:r>
      <w:r w:rsidR="000E2BD8" w:rsidRPr="000E2BD8">
        <w:rPr>
          <w:rStyle w:val="FootnoteReference"/>
          <w:color w:val="222222"/>
          <w:shd w:val="clear" w:color="auto" w:fill="FFFFFF"/>
        </w:rPr>
        <w:t xml:space="preserve"> </w:t>
      </w:r>
      <w:r w:rsidR="000E2BD8" w:rsidRPr="00303D5E">
        <w:rPr>
          <w:rStyle w:val="FootnoteReference"/>
          <w:color w:val="222222"/>
          <w:shd w:val="clear" w:color="auto" w:fill="FFFFFF"/>
        </w:rPr>
        <w:footnoteReference w:id="2"/>
      </w:r>
      <w:r>
        <w:rPr>
          <w:color w:val="0E101A"/>
        </w:rPr>
        <w:t> Nevertheless, if we succeed, we are able to see the suggested strategies that we may still use effectively today.</w:t>
      </w:r>
      <w:r w:rsidR="000E2BD8" w:rsidRPr="000E2BD8">
        <w:rPr>
          <w:rStyle w:val="FootnoteReference"/>
          <w:color w:val="222222"/>
          <w:shd w:val="clear" w:color="auto" w:fill="FFFFFF"/>
        </w:rPr>
        <w:t xml:space="preserve"> </w:t>
      </w:r>
      <w:r w:rsidR="000E2BD8" w:rsidRPr="00303D5E">
        <w:rPr>
          <w:rStyle w:val="FootnoteReference"/>
          <w:color w:val="222222"/>
          <w:shd w:val="clear" w:color="auto" w:fill="FFFFFF"/>
        </w:rPr>
        <w:footnoteReference w:id="3"/>
      </w:r>
    </w:p>
    <w:p w14:paraId="41CB7EB8" w14:textId="22611302" w:rsidR="00303D5E" w:rsidRDefault="00303D5E" w:rsidP="00303D5E">
      <w:pPr>
        <w:pStyle w:val="NormalWeb"/>
        <w:spacing w:before="0" w:beforeAutospacing="0" w:after="0" w:afterAutospacing="0"/>
        <w:rPr>
          <w:color w:val="0E101A"/>
        </w:rPr>
      </w:pPr>
      <w:r>
        <w:rPr>
          <w:color w:val="0E101A"/>
        </w:rPr>
        <w:t xml:space="preserve">Besides, an understanding of rhetoric helps </w:t>
      </w:r>
      <w:r w:rsidR="000E2BD8">
        <w:rPr>
          <w:color w:val="0E101A"/>
        </w:rPr>
        <w:t xml:space="preserve">illuminate </w:t>
      </w:r>
      <w:r>
        <w:rPr>
          <w:color w:val="0E101A"/>
        </w:rPr>
        <w:t>what the author purposefully and originally intended to say</w:t>
      </w:r>
      <w:r w:rsidR="000E2BD8">
        <w:rPr>
          <w:color w:val="0E101A"/>
        </w:rPr>
        <w:t xml:space="preserve"> thereby making interpretation of a text easier.</w:t>
      </w:r>
    </w:p>
    <w:p w14:paraId="1D8DDC81" w14:textId="77777777" w:rsidR="00303D5E" w:rsidRDefault="00303D5E">
      <w:pPr>
        <w:rPr>
          <w:rFonts w:ascii="Times New Roman" w:hAnsi="Times New Roman" w:cs="Times New Roman"/>
          <w:sz w:val="24"/>
          <w:szCs w:val="24"/>
        </w:rPr>
      </w:pPr>
    </w:p>
    <w:p w14:paraId="13E5A5F0" w14:textId="6C1BA28E" w:rsidR="00303D5E" w:rsidRPr="00303D5E" w:rsidRDefault="00303D5E">
      <w:pPr>
        <w:rPr>
          <w:rFonts w:ascii="Times New Roman" w:hAnsi="Times New Roman" w:cs="Times New Roman"/>
          <w:color w:val="222222"/>
          <w:sz w:val="24"/>
          <w:szCs w:val="24"/>
          <w:shd w:val="clear" w:color="auto" w:fill="FFFFFF"/>
        </w:rPr>
      </w:pPr>
    </w:p>
    <w:p w14:paraId="7B380E87" w14:textId="497C30F3" w:rsidR="00303D5E" w:rsidRPr="00303D5E" w:rsidRDefault="00303D5E">
      <w:pPr>
        <w:rPr>
          <w:rFonts w:ascii="Times New Roman" w:hAnsi="Times New Roman" w:cs="Times New Roman"/>
          <w:b/>
          <w:bCs/>
          <w:color w:val="222222"/>
          <w:sz w:val="24"/>
          <w:szCs w:val="24"/>
          <w:shd w:val="clear" w:color="auto" w:fill="FFFFFF"/>
        </w:rPr>
      </w:pPr>
      <w:r w:rsidRPr="00303D5E">
        <w:rPr>
          <w:rFonts w:ascii="Times New Roman" w:hAnsi="Times New Roman" w:cs="Times New Roman"/>
          <w:b/>
          <w:bCs/>
          <w:color w:val="222222"/>
          <w:sz w:val="24"/>
          <w:szCs w:val="24"/>
          <w:shd w:val="clear" w:color="auto" w:fill="FFFFFF"/>
        </w:rPr>
        <w:t>Bibliography</w:t>
      </w:r>
    </w:p>
    <w:p w14:paraId="7E28F2C2" w14:textId="77777777" w:rsidR="00303D5E" w:rsidRPr="00303D5E" w:rsidRDefault="00303D5E" w:rsidP="00303D5E">
      <w:pPr>
        <w:ind w:left="720" w:hanging="720"/>
        <w:rPr>
          <w:rFonts w:ascii="Times New Roman" w:hAnsi="Times New Roman" w:cs="Times New Roman"/>
          <w:color w:val="212529"/>
          <w:sz w:val="24"/>
          <w:szCs w:val="24"/>
          <w:shd w:val="clear" w:color="auto" w:fill="FFFFFF"/>
        </w:rPr>
      </w:pPr>
      <w:r w:rsidRPr="00303D5E">
        <w:rPr>
          <w:rFonts w:ascii="Times New Roman" w:hAnsi="Times New Roman" w:cs="Times New Roman"/>
          <w:color w:val="212529"/>
          <w:sz w:val="24"/>
          <w:szCs w:val="24"/>
          <w:shd w:val="clear" w:color="auto" w:fill="FFFFFF"/>
        </w:rPr>
        <w:t>Klein, William W., Craig L. Blomberg, and Robert L. Hubbard, Jr. </w:t>
      </w:r>
      <w:r w:rsidRPr="00303D5E">
        <w:rPr>
          <w:rStyle w:val="Emphasis"/>
          <w:rFonts w:ascii="Times New Roman" w:hAnsi="Times New Roman" w:cs="Times New Roman"/>
          <w:color w:val="212529"/>
          <w:sz w:val="24"/>
          <w:szCs w:val="24"/>
          <w:shd w:val="clear" w:color="auto" w:fill="FFFFFF"/>
        </w:rPr>
        <w:t>Introduction to Biblical Interpretation</w:t>
      </w:r>
      <w:r w:rsidRPr="00303D5E">
        <w:rPr>
          <w:rFonts w:ascii="Times New Roman" w:hAnsi="Times New Roman" w:cs="Times New Roman"/>
          <w:color w:val="212529"/>
          <w:sz w:val="24"/>
          <w:szCs w:val="24"/>
          <w:shd w:val="clear" w:color="auto" w:fill="FFFFFF"/>
        </w:rPr>
        <w:t>, 3rd ed. Grand Rapids, MI: Zondervan, 2017.</w:t>
      </w:r>
    </w:p>
    <w:p w14:paraId="3C6EB52A" w14:textId="77777777" w:rsidR="00303D5E" w:rsidRPr="00303D5E" w:rsidRDefault="00303D5E">
      <w:pPr>
        <w:rPr>
          <w:rFonts w:ascii="Times New Roman" w:hAnsi="Times New Roman" w:cs="Times New Roman"/>
          <w:color w:val="222222"/>
          <w:sz w:val="24"/>
          <w:szCs w:val="24"/>
          <w:shd w:val="clear" w:color="auto" w:fill="FFFFFF"/>
        </w:rPr>
      </w:pPr>
    </w:p>
    <w:p w14:paraId="692E9DB6" w14:textId="77777777" w:rsidR="00303D5E" w:rsidRPr="00303D5E" w:rsidRDefault="00303D5E">
      <w:pPr>
        <w:rPr>
          <w:rFonts w:ascii="Times New Roman" w:hAnsi="Times New Roman" w:cs="Times New Roman"/>
          <w:sz w:val="24"/>
          <w:szCs w:val="24"/>
        </w:rPr>
      </w:pPr>
    </w:p>
    <w:sectPr w:rsidR="00303D5E" w:rsidRPr="00303D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4AC5D" w14:textId="77777777" w:rsidR="00EF7BA3" w:rsidRDefault="00EF7BA3" w:rsidP="009C00EB">
      <w:pPr>
        <w:spacing w:after="0" w:line="240" w:lineRule="auto"/>
      </w:pPr>
      <w:r>
        <w:separator/>
      </w:r>
    </w:p>
  </w:endnote>
  <w:endnote w:type="continuationSeparator" w:id="0">
    <w:p w14:paraId="629ED476" w14:textId="77777777" w:rsidR="00EF7BA3" w:rsidRDefault="00EF7BA3" w:rsidP="009C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9C9EB" w14:textId="77777777" w:rsidR="00EF7BA3" w:rsidRDefault="00EF7BA3" w:rsidP="009C00EB">
      <w:pPr>
        <w:spacing w:after="0" w:line="240" w:lineRule="auto"/>
      </w:pPr>
      <w:r>
        <w:separator/>
      </w:r>
    </w:p>
  </w:footnote>
  <w:footnote w:type="continuationSeparator" w:id="0">
    <w:p w14:paraId="4BE4A526" w14:textId="77777777" w:rsidR="00EF7BA3" w:rsidRDefault="00EF7BA3" w:rsidP="009C00EB">
      <w:pPr>
        <w:spacing w:after="0" w:line="240" w:lineRule="auto"/>
      </w:pPr>
      <w:r>
        <w:continuationSeparator/>
      </w:r>
    </w:p>
  </w:footnote>
  <w:footnote w:id="1">
    <w:p w14:paraId="5C015BA4" w14:textId="77777777" w:rsidR="000E2BD8" w:rsidRPr="005C74DB" w:rsidRDefault="000E2BD8" w:rsidP="000E2BD8">
      <w:pPr>
        <w:pStyle w:val="FootnoteText"/>
        <w:spacing w:before="240"/>
        <w:ind w:firstLine="720"/>
        <w:rPr>
          <w:rFonts w:ascii="Times New Roman" w:hAnsi="Times New Roman" w:cs="Times New Roman"/>
        </w:rPr>
      </w:pPr>
      <w:r>
        <w:rPr>
          <w:rStyle w:val="FootnoteReference"/>
        </w:rPr>
        <w:footnoteRef/>
      </w:r>
      <w:r>
        <w:t xml:space="preserve"> </w:t>
      </w:r>
      <w:r w:rsidRPr="005C74DB">
        <w:rPr>
          <w:rFonts w:ascii="Times New Roman" w:hAnsi="Times New Roman" w:cs="Times New Roman"/>
          <w:color w:val="212529"/>
          <w:shd w:val="clear" w:color="auto" w:fill="FFFFFF"/>
        </w:rPr>
        <w:t>William W., Klein, Craig L. Blomberg, and Robert L. Hubbard, Jr. </w:t>
      </w:r>
      <w:r w:rsidRPr="005C74DB">
        <w:rPr>
          <w:rStyle w:val="Emphasis"/>
          <w:rFonts w:ascii="Times New Roman" w:hAnsi="Times New Roman" w:cs="Times New Roman"/>
          <w:color w:val="212529"/>
          <w:shd w:val="clear" w:color="auto" w:fill="FFFFFF"/>
        </w:rPr>
        <w:t>Introduction to Biblical Interpretation</w:t>
      </w:r>
      <w:r w:rsidRPr="005C74DB">
        <w:rPr>
          <w:rFonts w:ascii="Times New Roman" w:hAnsi="Times New Roman" w:cs="Times New Roman"/>
          <w:color w:val="212529"/>
          <w:shd w:val="clear" w:color="auto" w:fill="FFFFFF"/>
        </w:rPr>
        <w:t>, 3rd ed. (Grand Rapids, MI: Zondervan, 2017), 5</w:t>
      </w:r>
      <w:r>
        <w:rPr>
          <w:rFonts w:ascii="Times New Roman" w:hAnsi="Times New Roman" w:cs="Times New Roman"/>
          <w:color w:val="212529"/>
          <w:shd w:val="clear" w:color="auto" w:fill="FFFFFF"/>
        </w:rPr>
        <w:t>48</w:t>
      </w:r>
      <w:r w:rsidRPr="005C74DB">
        <w:rPr>
          <w:rFonts w:ascii="Times New Roman" w:hAnsi="Times New Roman" w:cs="Times New Roman"/>
          <w:color w:val="212529"/>
          <w:shd w:val="clear" w:color="auto" w:fill="FFFFFF"/>
        </w:rPr>
        <w:t>.</w:t>
      </w:r>
    </w:p>
    <w:p w14:paraId="3B2579DF" w14:textId="77777777" w:rsidR="000E2BD8" w:rsidRDefault="000E2BD8" w:rsidP="000E2BD8">
      <w:pPr>
        <w:pStyle w:val="FootnoteText"/>
      </w:pPr>
    </w:p>
  </w:footnote>
  <w:footnote w:id="2">
    <w:p w14:paraId="789CF230" w14:textId="77777777" w:rsidR="000E2BD8" w:rsidRDefault="000E2BD8" w:rsidP="000E2BD8">
      <w:pPr>
        <w:pStyle w:val="FootnoteText"/>
      </w:pPr>
      <w:r>
        <w:rPr>
          <w:rStyle w:val="FootnoteReference"/>
        </w:rPr>
        <w:footnoteRef/>
      </w:r>
      <w:r>
        <w:t xml:space="preserve"> Ibid., 548.</w:t>
      </w:r>
    </w:p>
  </w:footnote>
  <w:footnote w:id="3">
    <w:p w14:paraId="0DA5AB4E" w14:textId="77777777" w:rsidR="000E2BD8" w:rsidRDefault="000E2BD8" w:rsidP="000E2BD8">
      <w:pPr>
        <w:pStyle w:val="FootnoteText"/>
      </w:pPr>
      <w:r>
        <w:rPr>
          <w:rStyle w:val="FootnoteReference"/>
        </w:rPr>
        <w:footnoteRef/>
      </w:r>
      <w:r>
        <w:t xml:space="preserve"> Ibid., 548.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5E"/>
    <w:rsid w:val="000E2BD8"/>
    <w:rsid w:val="00303D5E"/>
    <w:rsid w:val="003145C2"/>
    <w:rsid w:val="00514066"/>
    <w:rsid w:val="006A2D5E"/>
    <w:rsid w:val="007B12C2"/>
    <w:rsid w:val="008131E4"/>
    <w:rsid w:val="009C00EB"/>
    <w:rsid w:val="00EF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5F98F"/>
  <w15:chartTrackingRefBased/>
  <w15:docId w15:val="{C66EB8BE-1DBE-40D9-BBE0-773F697E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C00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00EB"/>
    <w:rPr>
      <w:sz w:val="20"/>
      <w:szCs w:val="20"/>
    </w:rPr>
  </w:style>
  <w:style w:type="character" w:styleId="FootnoteReference">
    <w:name w:val="footnote reference"/>
    <w:basedOn w:val="DefaultParagraphFont"/>
    <w:uiPriority w:val="99"/>
    <w:semiHidden/>
    <w:unhideWhenUsed/>
    <w:rsid w:val="009C00EB"/>
    <w:rPr>
      <w:vertAlign w:val="superscript"/>
    </w:rPr>
  </w:style>
  <w:style w:type="character" w:styleId="Emphasis">
    <w:name w:val="Emphasis"/>
    <w:basedOn w:val="DefaultParagraphFont"/>
    <w:uiPriority w:val="20"/>
    <w:qFormat/>
    <w:rsid w:val="009C00EB"/>
    <w:rPr>
      <w:i/>
      <w:iCs/>
    </w:rPr>
  </w:style>
  <w:style w:type="paragraph" w:styleId="NormalWeb">
    <w:name w:val="Normal (Web)"/>
    <w:basedOn w:val="Normal"/>
    <w:uiPriority w:val="99"/>
    <w:semiHidden/>
    <w:unhideWhenUsed/>
    <w:rsid w:val="00303D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3D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4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129465C-67C4-4D30-B46E-F1665451A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2021-05-02T16:57:00Z</dcterms:created>
  <dcterms:modified xsi:type="dcterms:W3CDTF">2021-05-02T18:18:00Z</dcterms:modified>
</cp:coreProperties>
</file>