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7777777" w:rsidR="000C2FB6" w:rsidRPr="00810CAB" w:rsidRDefault="000C2FB6" w:rsidP="000C2FB6">
      <w:pPr>
        <w:rPr>
          <w:rFonts w:cs="Times New Roman"/>
          <w:szCs w:val="24"/>
        </w:rPr>
      </w:pPr>
    </w:p>
    <w:p w14:paraId="083DA82B" w14:textId="5DD7619C" w:rsidR="000C2FB6" w:rsidRPr="00810CAB" w:rsidRDefault="00BC365C" w:rsidP="00B216BD">
      <w:pPr>
        <w:spacing w:line="240" w:lineRule="auto"/>
        <w:jc w:val="center"/>
        <w:rPr>
          <w:rFonts w:cs="Times New Roman"/>
          <w:b/>
          <w:bCs/>
          <w:szCs w:val="24"/>
        </w:rPr>
      </w:pPr>
      <w:r>
        <w:rPr>
          <w:rFonts w:cs="Times New Roman"/>
          <w:b/>
          <w:bCs/>
          <w:szCs w:val="24"/>
        </w:rPr>
        <w:t xml:space="preserve">Content Essay: </w:t>
      </w:r>
      <w:r w:rsidR="00325195">
        <w:rPr>
          <w:rFonts w:cs="Times New Roman"/>
          <w:b/>
          <w:bCs/>
          <w:szCs w:val="24"/>
        </w:rPr>
        <w:t xml:space="preserve">1 Kings </w:t>
      </w:r>
      <w:r>
        <w:rPr>
          <w:rFonts w:cs="Times New Roman"/>
          <w:b/>
          <w:bCs/>
          <w:szCs w:val="24"/>
        </w:rPr>
        <w:t>Assignment</w:t>
      </w:r>
    </w:p>
    <w:p w14:paraId="47F87442" w14:textId="394126F7" w:rsidR="00B216BD" w:rsidRPr="00810CAB" w:rsidRDefault="00B216BD" w:rsidP="000C2FB6">
      <w:pPr>
        <w:rPr>
          <w:rFonts w:cs="Times New Roman"/>
          <w:szCs w:val="24"/>
        </w:rPr>
      </w:pPr>
    </w:p>
    <w:p w14:paraId="1380B3F7" w14:textId="4B84C33A" w:rsidR="00B216BD" w:rsidRPr="00810CAB" w:rsidRDefault="00B216BD" w:rsidP="000C2FB6">
      <w:pPr>
        <w:rPr>
          <w:rFonts w:cs="Times New Roman"/>
          <w:szCs w:val="24"/>
        </w:rPr>
      </w:pPr>
    </w:p>
    <w:p w14:paraId="3F426043" w14:textId="77777777" w:rsidR="00B216BD" w:rsidRPr="00810CAB" w:rsidRDefault="00B216BD" w:rsidP="000C2FB6">
      <w:pPr>
        <w:rPr>
          <w:rFonts w:cs="Times New Roman"/>
          <w:szCs w:val="24"/>
        </w:rPr>
      </w:pPr>
    </w:p>
    <w:p w14:paraId="25E2A9D8" w14:textId="77777777" w:rsidR="00BC365C" w:rsidRPr="00872F9C" w:rsidRDefault="00BC365C" w:rsidP="00BC365C">
      <w:pPr>
        <w:jc w:val="center"/>
        <w:rPr>
          <w:rFonts w:cs="Times New Roman"/>
          <w:szCs w:val="24"/>
        </w:rPr>
      </w:pPr>
      <w:bookmarkStart w:id="9" w:name="_Toc76732062"/>
      <w:bookmarkStart w:id="10" w:name="_Toc76513000"/>
      <w:bookmarkStart w:id="11" w:name="_Toc73326369"/>
      <w:r w:rsidRPr="00872F9C">
        <w:rPr>
          <w:rFonts w:cs="Times New Roman"/>
          <w:szCs w:val="24"/>
        </w:rPr>
        <w:t xml:space="preserve">Submitted to </w:t>
      </w:r>
      <w:r>
        <w:rPr>
          <w:rFonts w:cs="Times New Roman"/>
          <w:szCs w:val="24"/>
        </w:rPr>
        <w:t>Dr. Daniel Gurtner</w:t>
      </w:r>
    </w:p>
    <w:p w14:paraId="039A9119" w14:textId="77777777" w:rsidR="00BC365C" w:rsidRPr="00872F9C" w:rsidRDefault="00BC365C" w:rsidP="00BC365C">
      <w:pPr>
        <w:jc w:val="center"/>
        <w:rPr>
          <w:rFonts w:cs="Times New Roman"/>
          <w:szCs w:val="24"/>
        </w:rPr>
      </w:pPr>
      <w:r w:rsidRPr="00872F9C">
        <w:rPr>
          <w:rFonts w:cs="Times New Roman"/>
          <w:szCs w:val="24"/>
        </w:rPr>
        <w:t xml:space="preserve">in partial fulfillment of the requirements for the completion of </w:t>
      </w:r>
    </w:p>
    <w:p w14:paraId="5BBD2673" w14:textId="77777777" w:rsidR="00BC365C" w:rsidRPr="00872F9C" w:rsidRDefault="00BC365C" w:rsidP="00BC365C">
      <w:pPr>
        <w:jc w:val="center"/>
        <w:rPr>
          <w:rFonts w:cs="Times New Roman"/>
          <w:szCs w:val="24"/>
        </w:rPr>
      </w:pPr>
    </w:p>
    <w:p w14:paraId="0278F6BA" w14:textId="77777777" w:rsidR="00BC365C" w:rsidRPr="00872F9C" w:rsidRDefault="00BC365C" w:rsidP="00BC365C">
      <w:pPr>
        <w:jc w:val="center"/>
        <w:rPr>
          <w:rFonts w:cs="Times New Roman"/>
          <w:szCs w:val="24"/>
        </w:rPr>
      </w:pPr>
    </w:p>
    <w:p w14:paraId="759DF517" w14:textId="77777777" w:rsidR="00BC365C" w:rsidRPr="00872F9C" w:rsidRDefault="00BC365C" w:rsidP="00BC365C">
      <w:pPr>
        <w:jc w:val="center"/>
        <w:rPr>
          <w:rFonts w:cs="Times New Roman"/>
          <w:szCs w:val="24"/>
        </w:rPr>
      </w:pPr>
      <w:r>
        <w:rPr>
          <w:rFonts w:cs="Times New Roman"/>
          <w:szCs w:val="24"/>
        </w:rPr>
        <w:t>OBST 515- D02</w:t>
      </w:r>
    </w:p>
    <w:p w14:paraId="47D0640D" w14:textId="77777777" w:rsidR="00BC365C" w:rsidRPr="00872F9C" w:rsidRDefault="00BC365C" w:rsidP="00BC365C">
      <w:pPr>
        <w:jc w:val="center"/>
        <w:rPr>
          <w:rFonts w:cs="Times New Roman"/>
          <w:szCs w:val="24"/>
        </w:rPr>
      </w:pPr>
      <w:r>
        <w:rPr>
          <w:rFonts w:cs="Times New Roman"/>
          <w:szCs w:val="24"/>
        </w:rPr>
        <w:t>Old Testament Orientation</w:t>
      </w:r>
    </w:p>
    <w:p w14:paraId="209B1879" w14:textId="77777777" w:rsidR="00BC365C" w:rsidRPr="00872F9C" w:rsidRDefault="00BC365C" w:rsidP="00BC365C">
      <w:pPr>
        <w:jc w:val="center"/>
        <w:rPr>
          <w:rFonts w:cs="Times New Roman"/>
          <w:szCs w:val="24"/>
        </w:rPr>
      </w:pPr>
    </w:p>
    <w:p w14:paraId="790693F3" w14:textId="77777777" w:rsidR="00BC365C" w:rsidRPr="00872F9C" w:rsidRDefault="00BC365C" w:rsidP="00BC365C">
      <w:pPr>
        <w:jc w:val="center"/>
        <w:rPr>
          <w:rFonts w:cs="Times New Roman"/>
          <w:szCs w:val="24"/>
        </w:rPr>
      </w:pPr>
    </w:p>
    <w:p w14:paraId="0C66C1C0" w14:textId="77777777" w:rsidR="00BC365C" w:rsidRPr="00872F9C" w:rsidRDefault="00BC365C" w:rsidP="00BC365C">
      <w:pPr>
        <w:jc w:val="center"/>
        <w:rPr>
          <w:rFonts w:cs="Times New Roman"/>
          <w:szCs w:val="24"/>
        </w:rPr>
      </w:pPr>
      <w:r w:rsidRPr="00872F9C">
        <w:rPr>
          <w:rFonts w:cs="Times New Roman"/>
          <w:szCs w:val="24"/>
        </w:rPr>
        <w:t>by</w:t>
      </w:r>
    </w:p>
    <w:p w14:paraId="5D238896" w14:textId="77777777" w:rsidR="00BC365C" w:rsidRPr="00872F9C" w:rsidRDefault="00BC365C" w:rsidP="00BC365C">
      <w:pPr>
        <w:rPr>
          <w:rFonts w:cs="Times New Roman"/>
          <w:szCs w:val="24"/>
        </w:rPr>
      </w:pPr>
    </w:p>
    <w:p w14:paraId="373BD848" w14:textId="77777777" w:rsidR="00BC365C" w:rsidRPr="00872F9C" w:rsidRDefault="00BC365C" w:rsidP="00BC365C">
      <w:pPr>
        <w:jc w:val="center"/>
        <w:rPr>
          <w:rFonts w:cs="Times New Roman"/>
          <w:szCs w:val="24"/>
        </w:rPr>
      </w:pPr>
      <w:r w:rsidRPr="00872F9C">
        <w:rPr>
          <w:rFonts w:cs="Times New Roman"/>
          <w:szCs w:val="24"/>
        </w:rPr>
        <w:t>Kingsley O. Nyakagwa</w:t>
      </w:r>
    </w:p>
    <w:p w14:paraId="0DE50A51" w14:textId="1CB5B160" w:rsidR="00BC365C" w:rsidRPr="00872F9C" w:rsidRDefault="00384AF2" w:rsidP="00BC365C">
      <w:pPr>
        <w:jc w:val="center"/>
        <w:rPr>
          <w:rFonts w:cs="Times New Roman"/>
          <w:szCs w:val="24"/>
        </w:rPr>
      </w:pPr>
      <w:bookmarkStart w:id="12" w:name="__RefHeading___Toc523_3372919366"/>
      <w:bookmarkStart w:id="13" w:name="__RefHeading___Toc305_3372919366"/>
      <w:bookmarkEnd w:id="12"/>
      <w:bookmarkEnd w:id="13"/>
      <w:r>
        <w:rPr>
          <w:rFonts w:cs="Times New Roman"/>
          <w:szCs w:val="24"/>
        </w:rPr>
        <w:t>August 8</w:t>
      </w:r>
      <w:r w:rsidR="00BC365C" w:rsidRPr="00872F9C">
        <w:rPr>
          <w:rFonts w:cs="Times New Roman"/>
          <w:szCs w:val="24"/>
        </w:rPr>
        <w:t>, 2021</w:t>
      </w:r>
    </w:p>
    <w:bookmarkEnd w:id="0"/>
    <w:bookmarkEnd w:id="1"/>
    <w:bookmarkEnd w:id="2"/>
    <w:bookmarkEnd w:id="3"/>
    <w:bookmarkEnd w:id="4"/>
    <w:bookmarkEnd w:id="5"/>
    <w:bookmarkEnd w:id="6"/>
    <w:bookmarkEnd w:id="7"/>
    <w:bookmarkEnd w:id="8"/>
    <w:bookmarkEnd w:id="9"/>
    <w:bookmarkEnd w:id="10"/>
    <w:bookmarkEnd w:id="11"/>
    <w:p w14:paraId="077F3532" w14:textId="055F2652" w:rsidR="00DF7AA0" w:rsidRPr="00FC3EA2" w:rsidRDefault="00DF7AA0" w:rsidP="00FC3EA2">
      <w:pPr>
        <w:pStyle w:val="Heading1"/>
        <w:spacing w:before="240" w:line="240" w:lineRule="auto"/>
        <w:jc w:val="left"/>
        <w:sectPr w:rsidR="00DF7AA0" w:rsidRPr="00FC3EA2"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256307E" w14:textId="16103376" w:rsidR="00384AF2" w:rsidRDefault="00384AF2" w:rsidP="005733D7">
      <w:pPr>
        <w:pStyle w:val="NormalWeb"/>
        <w:rPr>
          <w:b/>
          <w:bCs/>
          <w:i/>
          <w:iCs/>
          <w:color w:val="000000"/>
        </w:rPr>
      </w:pPr>
      <w:r w:rsidRPr="00713978">
        <w:rPr>
          <w:b/>
          <w:bCs/>
          <w:i/>
          <w:iCs/>
          <w:color w:val="000000"/>
        </w:rPr>
        <w:lastRenderedPageBreak/>
        <w:t xml:space="preserve">How does the text of Deuteronomy 17:14-20 relate to the narratives of Saul, David, and in particular, Solomon? Do you think that the author of I Kings has Deuteronomy 17 in mind as he writes the “Solomonic Narrative” of 1 Kings 1 – 11?  </w:t>
      </w:r>
    </w:p>
    <w:p w14:paraId="039D39CD" w14:textId="445B9E25" w:rsidR="007732E9" w:rsidRDefault="00D86BBC" w:rsidP="00D86BBC">
      <w:pPr>
        <w:pStyle w:val="NormalWeb"/>
        <w:spacing w:before="0" w:beforeAutospacing="0" w:after="0" w:afterAutospacing="0" w:line="480" w:lineRule="auto"/>
        <w:ind w:firstLine="720"/>
        <w:rPr>
          <w:color w:val="0E101A"/>
        </w:rPr>
      </w:pPr>
      <w:r>
        <w:rPr>
          <w:color w:val="0E101A"/>
        </w:rPr>
        <w:t>T</w:t>
      </w:r>
      <w:r w:rsidR="007732E9">
        <w:rPr>
          <w:color w:val="0E101A"/>
        </w:rPr>
        <w:t>he books of Deuteronomy and 1 Kings are related to each other because one sets out the standards of kingship, and the other accounts or narrates whether those standards have been met. In other words, Deuteronomy 17:14-20 is a blueprint of how kings are appointed and supposed to behave. The author of Deuteronomy uses this chapter 17 to outline expectations that kings of Israel are supposed to meet. Using the Deuteronomistic history, the author posits that there are things that kings ought to do and not do. Moreover, he reflects that the blessings of God squarely depend on the obedience of the law of God. The king that obeys God’s law, him and his descendants, shall reign a long time over the kingdom of Israel (Deut 17:20</w:t>
      </w:r>
      <w:r>
        <w:rPr>
          <w:color w:val="0E101A"/>
        </w:rPr>
        <w:t>, NIV</w:t>
      </w:r>
      <w:r w:rsidR="007732E9">
        <w:rPr>
          <w:color w:val="0E101A"/>
        </w:rPr>
        <w:t>).</w:t>
      </w:r>
      <w:r>
        <w:rPr>
          <w:rStyle w:val="FootnoteReference"/>
          <w:color w:val="000000"/>
        </w:rPr>
        <w:footnoteReference w:id="1"/>
      </w:r>
      <w:r w:rsidR="007732E9">
        <w:rPr>
          <w:color w:val="0E101A"/>
        </w:rPr>
        <w:t> On the contrary, the king that does not obey these commands can expect the reverse. </w:t>
      </w:r>
    </w:p>
    <w:p w14:paraId="41BF2585" w14:textId="27124476" w:rsidR="007732E9" w:rsidRDefault="007732E9" w:rsidP="00D86BBC">
      <w:pPr>
        <w:pStyle w:val="NormalWeb"/>
        <w:spacing w:before="0" w:beforeAutospacing="0" w:after="0" w:afterAutospacing="0" w:line="480" w:lineRule="auto"/>
        <w:ind w:firstLine="720"/>
        <w:rPr>
          <w:color w:val="0E101A"/>
        </w:rPr>
      </w:pPr>
      <w:r>
        <w:rPr>
          <w:color w:val="0E101A"/>
        </w:rPr>
        <w:t xml:space="preserve">It could also be said that Deuteronomy 17 is a prophecy. The author zooms into the future and records what he sees. From the future, he perceives that the Israelites will want a king just like the other nations (Deut 17:14). This is fulfilled in the days of Samuel (1 Sam 8:5). The Israelites came to Samuel and demanded a king who could lead them to war. The result was Saul’s appointment as King. Again, he sees that God will want the Israelites to appoint a king that he has chosen. This also is fulfilled several times and specifically in the person of David (1 Sam 16). Though Samuel would have anointed the elder sons of Jesse, God was particular who he wanted to be king; David. Thus, it seems plausible to suggest that the author of 1 Kings has Deuteronomy 17 in mind. The chapter is his checklist to see whether the kings of Israel are meeting the requirements for kings. The present king Solomon is scoring averagely when judged </w:t>
      </w:r>
      <w:r>
        <w:rPr>
          <w:color w:val="0E101A"/>
        </w:rPr>
        <w:lastRenderedPageBreak/>
        <w:t>by these standards. As he ponders over, he realizes that there are big gaps in the conduct of Solomon. Solomon who is supposed to have the interest of Israelites at heart is doing things that God has said in Deuteronomy kings should not do. Deuteronomy 17 insisted that a king should not immerse lots of wealth or acquire many wives with reckless abandon, contrary to God’s commands.</w:t>
      </w:r>
    </w:p>
    <w:p w14:paraId="5D0F340F" w14:textId="77777777" w:rsidR="007732E9" w:rsidRDefault="007732E9" w:rsidP="007732E9">
      <w:pPr>
        <w:pStyle w:val="NormalWeb"/>
        <w:spacing w:before="0" w:beforeAutospacing="0" w:after="0" w:afterAutospacing="0"/>
        <w:rPr>
          <w:color w:val="0E101A"/>
        </w:rPr>
      </w:pPr>
    </w:p>
    <w:p w14:paraId="2B4D0E00" w14:textId="2B204C3A" w:rsidR="007732E9" w:rsidRDefault="007732E9" w:rsidP="007732E9">
      <w:pPr>
        <w:pStyle w:val="NormalWeb"/>
        <w:spacing w:before="0" w:beforeAutospacing="0" w:after="0" w:afterAutospacing="0"/>
        <w:rPr>
          <w:color w:val="0E101A"/>
        </w:rPr>
      </w:pPr>
      <w:r>
        <w:rPr>
          <w:color w:val="0E101A"/>
        </w:rPr>
        <w:t> </w:t>
      </w:r>
    </w:p>
    <w:p w14:paraId="44D2EF88" w14:textId="150F9FEA" w:rsidR="00325195" w:rsidRDefault="00384AF2" w:rsidP="005733D7">
      <w:pPr>
        <w:pStyle w:val="NormalWeb"/>
        <w:spacing w:before="0" w:beforeAutospacing="0" w:after="0" w:afterAutospacing="0"/>
        <w:rPr>
          <w:b/>
          <w:bCs/>
          <w:i/>
          <w:iCs/>
          <w:color w:val="000000"/>
        </w:rPr>
      </w:pPr>
      <w:r w:rsidRPr="00713978">
        <w:rPr>
          <w:b/>
          <w:bCs/>
          <w:i/>
          <w:iCs/>
          <w:color w:val="000000"/>
        </w:rPr>
        <w:t xml:space="preserve">Does the author of 1 Kings depict Solomon in a positive or negative manner? Is there any indication in the narratives prior to chapters ten and eleven that Solomon is already going astray (even in spite of his wisdom)? How is it that Solomon, endowed with the gift of wisdom, could go astray as he does? </w:t>
      </w:r>
    </w:p>
    <w:p w14:paraId="13769247" w14:textId="77777777" w:rsidR="00A872B7" w:rsidRPr="00713978" w:rsidRDefault="00A872B7" w:rsidP="005733D7">
      <w:pPr>
        <w:pStyle w:val="NormalWeb"/>
        <w:spacing w:before="0" w:beforeAutospacing="0" w:after="0" w:afterAutospacing="0"/>
        <w:rPr>
          <w:b/>
          <w:bCs/>
          <w:i/>
          <w:iCs/>
          <w:color w:val="000000"/>
        </w:rPr>
      </w:pPr>
    </w:p>
    <w:p w14:paraId="13FE472E" w14:textId="1686B224" w:rsidR="005733D7" w:rsidRDefault="00306D69" w:rsidP="005733D7">
      <w:pPr>
        <w:pStyle w:val="NormalWeb"/>
        <w:spacing w:before="0" w:beforeAutospacing="0" w:after="0" w:afterAutospacing="0" w:line="480" w:lineRule="auto"/>
        <w:ind w:firstLine="720"/>
        <w:rPr>
          <w:color w:val="000000"/>
        </w:rPr>
      </w:pPr>
      <w:r>
        <w:rPr>
          <w:color w:val="000000"/>
        </w:rPr>
        <w:t>The author of 1 Kings</w:t>
      </w:r>
      <w:r w:rsidR="00DE4AC0">
        <w:rPr>
          <w:color w:val="000000"/>
        </w:rPr>
        <w:t xml:space="preserve"> </w:t>
      </w:r>
      <w:r>
        <w:rPr>
          <w:color w:val="000000"/>
        </w:rPr>
        <w:t>depict</w:t>
      </w:r>
      <w:r w:rsidR="005733D7">
        <w:rPr>
          <w:color w:val="000000"/>
        </w:rPr>
        <w:t xml:space="preserve">s </w:t>
      </w:r>
      <w:r>
        <w:rPr>
          <w:color w:val="000000"/>
        </w:rPr>
        <w:t xml:space="preserve">Solomon in a </w:t>
      </w:r>
      <w:r w:rsidR="005733D7">
        <w:rPr>
          <w:color w:val="000000"/>
        </w:rPr>
        <w:t>positive</w:t>
      </w:r>
      <w:r>
        <w:rPr>
          <w:color w:val="000000"/>
        </w:rPr>
        <w:t xml:space="preserve"> manner</w:t>
      </w:r>
      <w:r w:rsidR="00325195">
        <w:rPr>
          <w:color w:val="000000"/>
        </w:rPr>
        <w:t xml:space="preserve">. In most instances, he magnifies his successes and suppresses his weaknesses. </w:t>
      </w:r>
      <w:r w:rsidR="00AF3465">
        <w:rPr>
          <w:color w:val="000000"/>
        </w:rPr>
        <w:t xml:space="preserve">Just how many verses does he use to describe his wisdom, wealth and splendor? The answer is a lot. </w:t>
      </w:r>
      <w:r w:rsidR="00A872B7">
        <w:rPr>
          <w:color w:val="000000"/>
        </w:rPr>
        <w:t xml:space="preserve"> He is categorical that</w:t>
      </w:r>
      <w:r w:rsidR="00AF3465">
        <w:rPr>
          <w:color w:val="000000"/>
        </w:rPr>
        <w:t xml:space="preserve"> Solomon’s wealth and wisdom </w:t>
      </w:r>
      <w:r w:rsidR="00A872B7">
        <w:rPr>
          <w:color w:val="000000"/>
        </w:rPr>
        <w:t xml:space="preserve">compare </w:t>
      </w:r>
      <w:r w:rsidR="00AF3465">
        <w:rPr>
          <w:color w:val="000000"/>
        </w:rPr>
        <w:t>to no one in the east (1 Kings 4:29-36).</w:t>
      </w:r>
      <w:r w:rsidR="00A872B7">
        <w:rPr>
          <w:color w:val="000000"/>
        </w:rPr>
        <w:t xml:space="preserve"> However, when it comes to his glaring weaknesses, </w:t>
      </w:r>
      <w:r w:rsidR="00DF4428">
        <w:rPr>
          <w:color w:val="000000"/>
        </w:rPr>
        <w:t xml:space="preserve">he is brief about them. </w:t>
      </w:r>
      <w:r w:rsidR="00325195">
        <w:rPr>
          <w:color w:val="000000"/>
        </w:rPr>
        <w:t xml:space="preserve">Because of this, many scholars in the past have tended to assume </w:t>
      </w:r>
      <w:r w:rsidR="00AF3465">
        <w:rPr>
          <w:color w:val="000000"/>
        </w:rPr>
        <w:t>most</w:t>
      </w:r>
      <w:r w:rsidR="00325195">
        <w:rPr>
          <w:color w:val="000000"/>
        </w:rPr>
        <w:t xml:space="preserve"> of his life was righteous. Iain Provan avers, “</w:t>
      </w:r>
      <w:r w:rsidR="00325195" w:rsidRPr="00325195">
        <w:rPr>
          <w:color w:val="000000"/>
        </w:rPr>
        <w:t xml:space="preserve">We must first reflect critically, however, on the fact that Solomon’s story has so often in the past been divided into two fairly </w:t>
      </w:r>
      <w:r w:rsidR="00325195" w:rsidRPr="00325195">
        <w:rPr>
          <w:color w:val="000000"/>
        </w:rPr>
        <w:t>self-contained</w:t>
      </w:r>
      <w:r w:rsidR="00325195" w:rsidRPr="00325195">
        <w:rPr>
          <w:color w:val="000000"/>
        </w:rPr>
        <w:t xml:space="preserve"> parts: an earlier period, in which he was obedient to God and was consequently (along with Israel) blessed; and a later period, in which he was disobedient to God and was consequently (with Israel) judged by God, and the kingdom was “torn away” (cf. 11:11). This is undoubtedly a neat scheme, but it represents a massive over-simplification.</w:t>
      </w:r>
      <w:r w:rsidR="00325195">
        <w:rPr>
          <w:color w:val="000000"/>
        </w:rPr>
        <w:t>”</w:t>
      </w:r>
      <w:r w:rsidR="00325195">
        <w:rPr>
          <w:rStyle w:val="FootnoteReference"/>
          <w:color w:val="000000"/>
        </w:rPr>
        <w:footnoteReference w:id="2"/>
      </w:r>
    </w:p>
    <w:p w14:paraId="74FCF481" w14:textId="72DDD39E" w:rsidR="007732E9" w:rsidRDefault="00325195" w:rsidP="005733D7">
      <w:pPr>
        <w:pStyle w:val="NormalWeb"/>
        <w:spacing w:before="0" w:beforeAutospacing="0" w:after="0" w:afterAutospacing="0" w:line="480" w:lineRule="auto"/>
        <w:ind w:firstLine="720"/>
        <w:rPr>
          <w:color w:val="000000"/>
        </w:rPr>
      </w:pPr>
      <w:r>
        <w:rPr>
          <w:color w:val="000000"/>
        </w:rPr>
        <w:t xml:space="preserve"> </w:t>
      </w:r>
      <w:r w:rsidR="00E32144">
        <w:rPr>
          <w:color w:val="000000"/>
        </w:rPr>
        <w:t>In the first part</w:t>
      </w:r>
      <w:r w:rsidR="005733D7">
        <w:rPr>
          <w:color w:val="000000"/>
        </w:rPr>
        <w:t>,</w:t>
      </w:r>
      <w:r w:rsidR="00E32144">
        <w:rPr>
          <w:color w:val="000000"/>
        </w:rPr>
        <w:t xml:space="preserve"> Solomon is considered to be </w:t>
      </w:r>
      <w:r w:rsidR="00AF3465">
        <w:rPr>
          <w:color w:val="000000"/>
        </w:rPr>
        <w:t xml:space="preserve">righteous but yet there </w:t>
      </w:r>
      <w:r w:rsidR="00E32144">
        <w:rPr>
          <w:color w:val="000000"/>
        </w:rPr>
        <w:t>are indications that he is not fully devoted to God. First</w:t>
      </w:r>
      <w:r>
        <w:rPr>
          <w:color w:val="000000"/>
        </w:rPr>
        <w:t xml:space="preserve"> Kings 3:1-3 </w:t>
      </w:r>
      <w:r w:rsidR="00DF4428">
        <w:rPr>
          <w:color w:val="000000"/>
        </w:rPr>
        <w:t>highlights how</w:t>
      </w:r>
      <w:r>
        <w:rPr>
          <w:color w:val="000000"/>
        </w:rPr>
        <w:t xml:space="preserve"> Solomon makes an alliance with </w:t>
      </w:r>
      <w:r>
        <w:rPr>
          <w:color w:val="000000"/>
        </w:rPr>
        <w:lastRenderedPageBreak/>
        <w:t xml:space="preserve">Pharaoh King of Egypt and marries her daughter. </w:t>
      </w:r>
      <w:r w:rsidR="00E32144">
        <w:rPr>
          <w:color w:val="000000"/>
        </w:rPr>
        <w:t xml:space="preserve">This is something that </w:t>
      </w:r>
      <w:r w:rsidR="00A45037">
        <w:rPr>
          <w:color w:val="000000"/>
        </w:rPr>
        <w:t>Deuteronomy</w:t>
      </w:r>
      <w:r>
        <w:rPr>
          <w:color w:val="000000"/>
        </w:rPr>
        <w:t xml:space="preserve"> 17:</w:t>
      </w:r>
      <w:r w:rsidR="00A45037">
        <w:rPr>
          <w:color w:val="000000"/>
        </w:rPr>
        <w:t>16 had warned kings</w:t>
      </w:r>
      <w:r w:rsidR="00D10EFE">
        <w:rPr>
          <w:color w:val="000000"/>
        </w:rPr>
        <w:t xml:space="preserve"> against doing</w:t>
      </w:r>
      <w:r w:rsidR="00E32144">
        <w:rPr>
          <w:color w:val="000000"/>
        </w:rPr>
        <w:t>.</w:t>
      </w:r>
      <w:r w:rsidR="00A45037">
        <w:rPr>
          <w:color w:val="000000"/>
        </w:rPr>
        <w:t xml:space="preserve"> The command </w:t>
      </w:r>
      <w:r w:rsidR="00E32144">
        <w:rPr>
          <w:color w:val="000000"/>
        </w:rPr>
        <w:t>had been given</w:t>
      </w:r>
      <w:r w:rsidR="00A45037">
        <w:rPr>
          <w:color w:val="000000"/>
        </w:rPr>
        <w:t>:  you are not to go back that way again.</w:t>
      </w:r>
      <w:r w:rsidR="00532069">
        <w:rPr>
          <w:color w:val="000000"/>
        </w:rPr>
        <w:t xml:space="preserve"> Historically</w:t>
      </w:r>
      <w:r w:rsidR="005733D7">
        <w:rPr>
          <w:color w:val="000000"/>
        </w:rPr>
        <w:t>.</w:t>
      </w:r>
      <w:r w:rsidR="00532069">
        <w:rPr>
          <w:color w:val="000000"/>
        </w:rPr>
        <w:t xml:space="preserve"> Israelites went to Egypt to look for help. For instance, Abraham went to Egypt when there was </w:t>
      </w:r>
      <w:r w:rsidR="00D86BBC">
        <w:rPr>
          <w:color w:val="000000"/>
        </w:rPr>
        <w:t xml:space="preserve">a </w:t>
      </w:r>
      <w:r w:rsidR="00532069">
        <w:rPr>
          <w:color w:val="000000"/>
        </w:rPr>
        <w:t>drought. Later, Jacob and his family follow suit (cf. Gen 12, 46).</w:t>
      </w:r>
      <w:r w:rsidR="00A45037">
        <w:rPr>
          <w:color w:val="000000"/>
        </w:rPr>
        <w:t xml:space="preserve"> </w:t>
      </w:r>
      <w:r w:rsidR="00654097">
        <w:rPr>
          <w:color w:val="000000"/>
        </w:rPr>
        <w:t xml:space="preserve">Though here Solomon is not going back to Egypt for food, he is still going down </w:t>
      </w:r>
      <w:r w:rsidR="005733D7">
        <w:rPr>
          <w:color w:val="000000"/>
        </w:rPr>
        <w:t xml:space="preserve">there </w:t>
      </w:r>
      <w:r w:rsidR="00654097">
        <w:rPr>
          <w:color w:val="000000"/>
        </w:rPr>
        <w:t xml:space="preserve">because he feels a treaty with Egypt will give him a sense of security. </w:t>
      </w:r>
      <w:r w:rsidR="007732E9">
        <w:rPr>
          <w:color w:val="000000"/>
        </w:rPr>
        <w:t xml:space="preserve">No matter the reason, God wanted the Israelites to look up to him for help and not the nations. </w:t>
      </w:r>
    </w:p>
    <w:p w14:paraId="7C73A1FC" w14:textId="430C465D" w:rsidR="00DE7C88" w:rsidRDefault="00D10EFE" w:rsidP="005733D7">
      <w:pPr>
        <w:pStyle w:val="NormalWeb"/>
        <w:spacing w:before="0" w:beforeAutospacing="0" w:after="0" w:afterAutospacing="0" w:line="480" w:lineRule="auto"/>
        <w:ind w:firstLine="720"/>
        <w:rPr>
          <w:color w:val="000000"/>
        </w:rPr>
      </w:pPr>
      <w:r>
        <w:rPr>
          <w:color w:val="000000"/>
        </w:rPr>
        <w:t>Marco Conti explains, “</w:t>
      </w:r>
      <w:r w:rsidRPr="00D10EFE">
        <w:rPr>
          <w:color w:val="000000"/>
        </w:rPr>
        <w:t>Solomon, since he thought he would avert his people from war and establish a house for the Lord through his connections with the foreign kings, for this reason</w:t>
      </w:r>
      <w:r w:rsidR="00D86BBC">
        <w:rPr>
          <w:color w:val="000000"/>
        </w:rPr>
        <w:t>,</w:t>
      </w:r>
      <w:r w:rsidRPr="00D10EFE">
        <w:rPr>
          <w:color w:val="000000"/>
        </w:rPr>
        <w:t xml:space="preserve"> he married their daughters, and not out of lust; </w:t>
      </w:r>
      <w:r w:rsidRPr="00D10EFE">
        <w:rPr>
          <w:color w:val="000000"/>
        </w:rPr>
        <w:t>therefore,</w:t>
      </w:r>
      <w:r w:rsidRPr="00D10EFE">
        <w:rPr>
          <w:color w:val="000000"/>
        </w:rPr>
        <w:t xml:space="preserve"> he was not blamed for this.</w:t>
      </w:r>
      <w:r>
        <w:rPr>
          <w:color w:val="000000"/>
        </w:rPr>
        <w:t>”</w:t>
      </w:r>
      <w:r>
        <w:rPr>
          <w:rStyle w:val="FootnoteReference"/>
          <w:color w:val="000000"/>
        </w:rPr>
        <w:footnoteReference w:id="3"/>
      </w:r>
      <w:r>
        <w:rPr>
          <w:color w:val="000000"/>
        </w:rPr>
        <w:t xml:space="preserve"> </w:t>
      </w:r>
      <w:r w:rsidR="00532069">
        <w:rPr>
          <w:color w:val="000000"/>
        </w:rPr>
        <w:t>Donald J. Wiseman a</w:t>
      </w:r>
      <w:r w:rsidR="00DF4428">
        <w:rPr>
          <w:color w:val="000000"/>
        </w:rPr>
        <w:t>dds</w:t>
      </w:r>
      <w:r w:rsidR="00532069">
        <w:rPr>
          <w:color w:val="000000"/>
        </w:rPr>
        <w:t>, “</w:t>
      </w:r>
      <w:r w:rsidR="00532069" w:rsidRPr="00532069">
        <w:rPr>
          <w:color w:val="000000"/>
        </w:rPr>
        <w:t>Such arranged marriages were a common conﬁrmation of international treaties, but this one was the beginning of Solomon’s spiritual downfall. It illustrates the dangers of action based on political expediency alone, and it was also contrary to the law, since it meant the acquisition of foreign gods</w:t>
      </w:r>
      <w:r w:rsidR="00654097">
        <w:rPr>
          <w:color w:val="000000"/>
        </w:rPr>
        <w:t>.</w:t>
      </w:r>
      <w:r w:rsidR="00532069">
        <w:rPr>
          <w:color w:val="000000"/>
        </w:rPr>
        <w:t>”</w:t>
      </w:r>
      <w:r w:rsidR="00654097">
        <w:rPr>
          <w:rStyle w:val="FootnoteReference"/>
          <w:color w:val="000000"/>
        </w:rPr>
        <w:footnoteReference w:id="4"/>
      </w:r>
      <w:r w:rsidR="00DE7C88">
        <w:rPr>
          <w:color w:val="000000"/>
        </w:rPr>
        <w:t xml:space="preserve"> In saying this, I am aware of instances where an Israelite married a foreign woman and still was not swayed into idol worship. For instance, Abraham married Keturah, Mahlon and Chillion as well married Ruth and Orpah. However, the problem with Solomon is that he ended up committing idolatry.</w:t>
      </w:r>
      <w:r w:rsidR="00532069" w:rsidRPr="00532069">
        <w:rPr>
          <w:color w:val="000000"/>
        </w:rPr>
        <w:t xml:space="preserve"> </w:t>
      </w:r>
      <w:r w:rsidR="00DE7C88">
        <w:rPr>
          <w:color w:val="000000"/>
        </w:rPr>
        <w:t xml:space="preserve">Though </w:t>
      </w:r>
      <w:r w:rsidR="00532069">
        <w:rPr>
          <w:color w:val="000000"/>
        </w:rPr>
        <w:t xml:space="preserve">he walked in the instructions of King David, he still offered sacrifices and burned incenses in the high places. </w:t>
      </w:r>
      <w:r w:rsidR="00DF4428">
        <w:rPr>
          <w:color w:val="000000"/>
        </w:rPr>
        <w:t xml:space="preserve">How could he possibly perform two equally opposed things? </w:t>
      </w:r>
      <w:r w:rsidR="00DE7C88">
        <w:rPr>
          <w:color w:val="000000"/>
        </w:rPr>
        <w:t xml:space="preserve">The only explanation to how this could be possible is that King Solomon was not fully </w:t>
      </w:r>
      <w:r w:rsidR="00713978">
        <w:rPr>
          <w:color w:val="000000"/>
        </w:rPr>
        <w:t>faithful</w:t>
      </w:r>
      <w:r w:rsidR="00DE7C88">
        <w:rPr>
          <w:color w:val="000000"/>
        </w:rPr>
        <w:t xml:space="preserve"> to God. </w:t>
      </w:r>
      <w:r>
        <w:rPr>
          <w:color w:val="000000"/>
        </w:rPr>
        <w:t xml:space="preserve">Partial obedience </w:t>
      </w:r>
      <w:r w:rsidR="00DF4428">
        <w:rPr>
          <w:color w:val="000000"/>
        </w:rPr>
        <w:t>is not obedience</w:t>
      </w:r>
      <w:r>
        <w:rPr>
          <w:color w:val="000000"/>
        </w:rPr>
        <w:t xml:space="preserve">. </w:t>
      </w:r>
      <w:r w:rsidR="004E2A0A">
        <w:rPr>
          <w:color w:val="000000"/>
        </w:rPr>
        <w:t xml:space="preserve">Even though he </w:t>
      </w:r>
      <w:r w:rsidR="004E2A0A">
        <w:rPr>
          <w:color w:val="000000"/>
        </w:rPr>
        <w:lastRenderedPageBreak/>
        <w:t xml:space="preserve">was wise, partial obedience </w:t>
      </w:r>
      <w:r w:rsidR="00DF4428">
        <w:rPr>
          <w:color w:val="000000"/>
        </w:rPr>
        <w:t>made it hard for him to follow through with God’s command</w:t>
      </w:r>
      <w:r w:rsidR="004E2A0A">
        <w:rPr>
          <w:color w:val="000000"/>
        </w:rPr>
        <w:t>. He needed to totally surrender to God to avoid his downfall.</w:t>
      </w:r>
    </w:p>
    <w:p w14:paraId="3B888F0C" w14:textId="25F38F37" w:rsidR="00DD7DF3" w:rsidRDefault="00DD7DF3" w:rsidP="00E721B9">
      <w:pPr>
        <w:pStyle w:val="Heading1"/>
      </w:pPr>
      <w:bookmarkStart w:id="14" w:name="_Toc76732070"/>
      <w:r w:rsidRPr="00810CAB">
        <w:t>Bibliography</w:t>
      </w:r>
      <w:bookmarkEnd w:id="14"/>
    </w:p>
    <w:p w14:paraId="0BC9F013" w14:textId="5C95A388" w:rsidR="00DE4AC0" w:rsidRDefault="00DE4AC0" w:rsidP="00DE4AC0">
      <w:r w:rsidRPr="00DE4AC0">
        <w:t xml:space="preserve">Provan, Iain W.. </w:t>
      </w:r>
      <w:r w:rsidRPr="00325195">
        <w:rPr>
          <w:i/>
          <w:iCs/>
        </w:rPr>
        <w:t>1 and 2 Kings.</w:t>
      </w:r>
      <w:r w:rsidRPr="00DE4AC0">
        <w:t xml:space="preserve"> Grand Rapids: Baker Books, 1993</w:t>
      </w:r>
      <w:r w:rsidR="00325195">
        <w:t>.</w:t>
      </w:r>
    </w:p>
    <w:p w14:paraId="73AF734B" w14:textId="66796AC4" w:rsidR="00532069" w:rsidRDefault="00532069" w:rsidP="00DE4AC0">
      <w:r w:rsidRPr="00532069">
        <w:t xml:space="preserve">Wiseman, Donald J.. </w:t>
      </w:r>
      <w:r w:rsidRPr="00532069">
        <w:rPr>
          <w:i/>
          <w:iCs/>
        </w:rPr>
        <w:t>1 and 2 Kings</w:t>
      </w:r>
      <w:r w:rsidRPr="00532069">
        <w:t>. Illinois: InterVarsity Press, 2008.</w:t>
      </w:r>
    </w:p>
    <w:p w14:paraId="5B01C72E" w14:textId="4599881B" w:rsidR="00D10EFE" w:rsidRDefault="00D10EFE" w:rsidP="00DE4AC0">
      <w:r w:rsidRPr="00D10EFE">
        <w:t xml:space="preserve">Conti, Marco. </w:t>
      </w:r>
      <w:r w:rsidRPr="00D10EFE">
        <w:rPr>
          <w:i/>
          <w:iCs/>
        </w:rPr>
        <w:t>1-2 Kings, 1-2 Chronicles, Ezra, Nehemiah, Esther</w:t>
      </w:r>
      <w:r w:rsidRPr="00D10EFE">
        <w:t xml:space="preserve">. Illinois: InterVarsity Press, 2008. </w:t>
      </w:r>
    </w:p>
    <w:p w14:paraId="3C2E3A25" w14:textId="77777777" w:rsidR="00325195" w:rsidRPr="00DE4AC0" w:rsidRDefault="00325195" w:rsidP="00DE4AC0"/>
    <w:p w14:paraId="75373A8E" w14:textId="4E808DE2" w:rsidR="00B50A25" w:rsidRPr="00B50A25" w:rsidRDefault="00B50A25" w:rsidP="00B50A25">
      <w:pPr>
        <w:rPr>
          <w:rFonts w:cs="Times New Roman"/>
          <w:szCs w:val="24"/>
        </w:rPr>
      </w:pPr>
    </w:p>
    <w:p w14:paraId="34CFF104" w14:textId="285DFF18" w:rsidR="00B50A25" w:rsidRPr="00B50A25" w:rsidRDefault="00B50A25" w:rsidP="00B50A25">
      <w:pPr>
        <w:rPr>
          <w:rFonts w:cs="Times New Roman"/>
          <w:szCs w:val="24"/>
        </w:rPr>
      </w:pPr>
    </w:p>
    <w:p w14:paraId="391010FD" w14:textId="38688883" w:rsidR="00B50A25" w:rsidRPr="00B50A25" w:rsidRDefault="00B50A25" w:rsidP="00B50A25">
      <w:pPr>
        <w:rPr>
          <w:rFonts w:cs="Times New Roman"/>
          <w:szCs w:val="24"/>
        </w:rPr>
      </w:pPr>
    </w:p>
    <w:p w14:paraId="1D49D1D3" w14:textId="34034307" w:rsidR="00B50A25" w:rsidRDefault="00B50A25" w:rsidP="00B50A25">
      <w:pPr>
        <w:rPr>
          <w:rFonts w:cs="Times New Roman"/>
          <w:color w:val="555555"/>
          <w:szCs w:val="24"/>
          <w:shd w:val="clear" w:color="auto" w:fill="FFFFFF"/>
        </w:rPr>
      </w:pPr>
    </w:p>
    <w:p w14:paraId="7C2F1FEF" w14:textId="36E8FD19" w:rsidR="00B50A25" w:rsidRPr="00B50A25" w:rsidRDefault="00B50A25" w:rsidP="00B50A25">
      <w:pPr>
        <w:tabs>
          <w:tab w:val="left" w:pos="3060"/>
        </w:tabs>
        <w:rPr>
          <w:rFonts w:cs="Times New Roman"/>
          <w:szCs w:val="24"/>
        </w:rPr>
      </w:pPr>
      <w:r>
        <w:rPr>
          <w:rFonts w:cs="Times New Roman"/>
          <w:szCs w:val="24"/>
        </w:rPr>
        <w:tab/>
      </w:r>
    </w:p>
    <w:sectPr w:rsidR="00B50A25" w:rsidRPr="00B50A25" w:rsidSect="00A36B5C">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65A56" w14:textId="77777777" w:rsidR="004D57C5" w:rsidRDefault="004D57C5" w:rsidP="00DF7AA0">
      <w:pPr>
        <w:spacing w:line="240" w:lineRule="auto"/>
      </w:pPr>
      <w:r>
        <w:separator/>
      </w:r>
    </w:p>
  </w:endnote>
  <w:endnote w:type="continuationSeparator" w:id="0">
    <w:p w14:paraId="7117F119" w14:textId="77777777" w:rsidR="004D57C5" w:rsidRDefault="004D57C5"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4D57C5"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10CCD" w14:textId="77777777" w:rsidR="004D57C5" w:rsidRDefault="004D57C5" w:rsidP="00DF7AA0">
      <w:pPr>
        <w:spacing w:line="240" w:lineRule="auto"/>
      </w:pPr>
      <w:r>
        <w:separator/>
      </w:r>
    </w:p>
  </w:footnote>
  <w:footnote w:type="continuationSeparator" w:id="0">
    <w:p w14:paraId="18B83758" w14:textId="77777777" w:rsidR="004D57C5" w:rsidRDefault="004D57C5" w:rsidP="00DF7AA0">
      <w:pPr>
        <w:spacing w:line="240" w:lineRule="auto"/>
      </w:pPr>
      <w:r>
        <w:continuationSeparator/>
      </w:r>
    </w:p>
  </w:footnote>
  <w:footnote w:id="1">
    <w:p w14:paraId="48D2643B" w14:textId="77777777" w:rsidR="00D86BBC" w:rsidRDefault="00D86BBC" w:rsidP="00D86BBC">
      <w:pPr>
        <w:pStyle w:val="FootnoteText"/>
      </w:pPr>
      <w:r>
        <w:rPr>
          <w:rStyle w:val="FootnoteReference"/>
        </w:rPr>
        <w:footnoteRef/>
      </w:r>
      <w:r>
        <w:t xml:space="preserve"> </w:t>
      </w:r>
      <w:r w:rsidRPr="00820F43">
        <w:rPr>
          <w:rFonts w:cs="Times New Roman"/>
        </w:rPr>
        <w:t xml:space="preserve">Unless otherwise noted, all biblical passages referenced are in the </w:t>
      </w:r>
      <w:r w:rsidRPr="000C31D5">
        <w:rPr>
          <w:rFonts w:cs="Times New Roman"/>
          <w:i/>
          <w:iCs/>
        </w:rPr>
        <w:t>New International Version</w:t>
      </w:r>
      <w:r w:rsidRPr="00820F43">
        <w:rPr>
          <w:rFonts w:cs="Times New Roman"/>
        </w:rPr>
        <w:t xml:space="preserve"> (Grand Rapids, MI: Zondervan, 2011).</w:t>
      </w:r>
    </w:p>
  </w:footnote>
  <w:footnote w:id="2">
    <w:p w14:paraId="1EC7E08A" w14:textId="423CD9B5" w:rsidR="00325195" w:rsidRDefault="00325195" w:rsidP="00A872B7">
      <w:pPr>
        <w:spacing w:line="240" w:lineRule="auto"/>
        <w:ind w:firstLine="720"/>
      </w:pPr>
      <w:r w:rsidRPr="00A872B7">
        <w:rPr>
          <w:rStyle w:val="FootnoteReference"/>
          <w:szCs w:val="20"/>
        </w:rPr>
        <w:footnoteRef/>
      </w:r>
      <w:r w:rsidRPr="00A872B7">
        <w:rPr>
          <w:sz w:val="20"/>
          <w:szCs w:val="20"/>
        </w:rPr>
        <w:t xml:space="preserve"> </w:t>
      </w:r>
      <w:r w:rsidRPr="00A872B7">
        <w:rPr>
          <w:sz w:val="20"/>
          <w:szCs w:val="20"/>
        </w:rPr>
        <w:t>Iain W.</w:t>
      </w:r>
      <w:r w:rsidRPr="00A872B7">
        <w:rPr>
          <w:sz w:val="20"/>
          <w:szCs w:val="20"/>
        </w:rPr>
        <w:t xml:space="preserve"> </w:t>
      </w:r>
      <w:r w:rsidRPr="00A872B7">
        <w:rPr>
          <w:sz w:val="20"/>
          <w:szCs w:val="20"/>
        </w:rPr>
        <w:t xml:space="preserve">Provan, </w:t>
      </w:r>
      <w:r w:rsidRPr="00A872B7">
        <w:rPr>
          <w:i/>
          <w:iCs/>
          <w:sz w:val="20"/>
          <w:szCs w:val="20"/>
        </w:rPr>
        <w:t>1 and 2 Kings</w:t>
      </w:r>
      <w:r w:rsidRPr="00A872B7">
        <w:rPr>
          <w:sz w:val="20"/>
          <w:szCs w:val="20"/>
        </w:rPr>
        <w:t xml:space="preserve"> </w:t>
      </w:r>
      <w:r w:rsidRPr="00A872B7">
        <w:rPr>
          <w:sz w:val="20"/>
          <w:szCs w:val="20"/>
        </w:rPr>
        <w:t>(</w:t>
      </w:r>
      <w:r w:rsidRPr="00A872B7">
        <w:rPr>
          <w:sz w:val="20"/>
          <w:szCs w:val="20"/>
        </w:rPr>
        <w:t>Grand Rapids: Baker Books, 1993</w:t>
      </w:r>
      <w:r w:rsidRPr="00A872B7">
        <w:rPr>
          <w:sz w:val="20"/>
          <w:szCs w:val="20"/>
        </w:rPr>
        <w:t>), 40</w:t>
      </w:r>
      <w:r>
        <w:t>.</w:t>
      </w:r>
    </w:p>
  </w:footnote>
  <w:footnote w:id="3">
    <w:p w14:paraId="0471C588" w14:textId="297ACB31" w:rsidR="00D10EFE" w:rsidRPr="00A872B7" w:rsidRDefault="00D10EFE" w:rsidP="00A872B7">
      <w:pPr>
        <w:spacing w:after="240" w:line="240" w:lineRule="auto"/>
        <w:ind w:firstLine="720"/>
        <w:rPr>
          <w:sz w:val="20"/>
          <w:szCs w:val="20"/>
        </w:rPr>
      </w:pPr>
      <w:r>
        <w:rPr>
          <w:rStyle w:val="FootnoteReference"/>
        </w:rPr>
        <w:footnoteRef/>
      </w:r>
      <w:r>
        <w:t xml:space="preserve"> </w:t>
      </w:r>
      <w:r w:rsidRPr="00A872B7">
        <w:rPr>
          <w:sz w:val="20"/>
          <w:szCs w:val="20"/>
        </w:rPr>
        <w:t>Marco</w:t>
      </w:r>
      <w:r w:rsidRPr="00A872B7">
        <w:rPr>
          <w:sz w:val="20"/>
          <w:szCs w:val="20"/>
        </w:rPr>
        <w:t xml:space="preserve"> </w:t>
      </w:r>
      <w:r w:rsidR="00A872B7" w:rsidRPr="00A872B7">
        <w:rPr>
          <w:sz w:val="20"/>
          <w:szCs w:val="20"/>
        </w:rPr>
        <w:t>Conti, 1</w:t>
      </w:r>
      <w:r w:rsidRPr="00A872B7">
        <w:rPr>
          <w:i/>
          <w:iCs/>
          <w:sz w:val="20"/>
          <w:szCs w:val="20"/>
        </w:rPr>
        <w:t>-2 Kings, 1-2 Chronicles, Ezra, Nehemiah, Esther</w:t>
      </w:r>
      <w:r w:rsidRPr="00A872B7">
        <w:rPr>
          <w:sz w:val="20"/>
          <w:szCs w:val="20"/>
        </w:rPr>
        <w:t xml:space="preserve"> </w:t>
      </w:r>
      <w:r w:rsidRPr="00A872B7">
        <w:rPr>
          <w:sz w:val="20"/>
          <w:szCs w:val="20"/>
        </w:rPr>
        <w:t>(</w:t>
      </w:r>
      <w:r w:rsidRPr="00A872B7">
        <w:rPr>
          <w:sz w:val="20"/>
          <w:szCs w:val="20"/>
        </w:rPr>
        <w:t>Illinois: InterVarsity Press, 2008</w:t>
      </w:r>
      <w:r w:rsidRPr="00A872B7">
        <w:rPr>
          <w:sz w:val="20"/>
          <w:szCs w:val="20"/>
        </w:rPr>
        <w:t>), 13.</w:t>
      </w:r>
    </w:p>
  </w:footnote>
  <w:footnote w:id="4">
    <w:p w14:paraId="55E2CCCE" w14:textId="104856F6" w:rsidR="00654097" w:rsidRPr="00A872B7" w:rsidRDefault="00654097" w:rsidP="00A872B7">
      <w:pPr>
        <w:pStyle w:val="FootnoteText"/>
        <w:spacing w:after="240"/>
      </w:pPr>
      <w:r w:rsidRPr="00A872B7">
        <w:rPr>
          <w:rStyle w:val="FootnoteReference"/>
        </w:rPr>
        <w:footnoteRef/>
      </w:r>
      <w:r w:rsidRPr="00A872B7">
        <w:t xml:space="preserve"> </w:t>
      </w:r>
      <w:r w:rsidRPr="00A872B7">
        <w:t>Donald J.</w:t>
      </w:r>
      <w:r w:rsidRPr="00A872B7">
        <w:t xml:space="preserve"> </w:t>
      </w:r>
      <w:r w:rsidRPr="00A872B7">
        <w:t xml:space="preserve">Wiseman, </w:t>
      </w:r>
      <w:r w:rsidRPr="00A872B7">
        <w:rPr>
          <w:i/>
          <w:iCs/>
        </w:rPr>
        <w:t>1 and 2 Kings</w:t>
      </w:r>
      <w:r w:rsidRPr="00A872B7">
        <w:t xml:space="preserve"> </w:t>
      </w:r>
      <w:r w:rsidRPr="00A872B7">
        <w:t>(</w:t>
      </w:r>
      <w:r w:rsidRPr="00A872B7">
        <w:t>Illinois: InterVarsity Press, 2008</w:t>
      </w:r>
      <w:r w:rsidRPr="00A872B7">
        <w:t>), 92</w:t>
      </w:r>
      <w:r w:rsidRPr="00A872B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8469B"/>
    <w:multiLevelType w:val="hybridMultilevel"/>
    <w:tmpl w:val="C00E9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444820"/>
    <w:multiLevelType w:val="hybridMultilevel"/>
    <w:tmpl w:val="2BF014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447AF"/>
    <w:rsid w:val="00045F7B"/>
    <w:rsid w:val="0006299D"/>
    <w:rsid w:val="0008569C"/>
    <w:rsid w:val="00090CF1"/>
    <w:rsid w:val="000A1664"/>
    <w:rsid w:val="000B1EDA"/>
    <w:rsid w:val="000B46F0"/>
    <w:rsid w:val="000C2FB6"/>
    <w:rsid w:val="000D41A4"/>
    <w:rsid w:val="000E6190"/>
    <w:rsid w:val="00106286"/>
    <w:rsid w:val="00114B0E"/>
    <w:rsid w:val="00121953"/>
    <w:rsid w:val="00134BCC"/>
    <w:rsid w:val="00137938"/>
    <w:rsid w:val="00141902"/>
    <w:rsid w:val="001517D4"/>
    <w:rsid w:val="00155F02"/>
    <w:rsid w:val="001631D2"/>
    <w:rsid w:val="00170B6A"/>
    <w:rsid w:val="00174C31"/>
    <w:rsid w:val="001918B7"/>
    <w:rsid w:val="001A616E"/>
    <w:rsid w:val="001B35F3"/>
    <w:rsid w:val="001F585E"/>
    <w:rsid w:val="0021064F"/>
    <w:rsid w:val="002401B1"/>
    <w:rsid w:val="00242822"/>
    <w:rsid w:val="002555F0"/>
    <w:rsid w:val="002563A6"/>
    <w:rsid w:val="00280AF6"/>
    <w:rsid w:val="00282FF6"/>
    <w:rsid w:val="00283562"/>
    <w:rsid w:val="002A6EBA"/>
    <w:rsid w:val="002B7C8F"/>
    <w:rsid w:val="002E1FCB"/>
    <w:rsid w:val="0030455F"/>
    <w:rsid w:val="00306D69"/>
    <w:rsid w:val="00312FD9"/>
    <w:rsid w:val="003134DA"/>
    <w:rsid w:val="0031579C"/>
    <w:rsid w:val="00325195"/>
    <w:rsid w:val="00332E7E"/>
    <w:rsid w:val="00344625"/>
    <w:rsid w:val="00350B9C"/>
    <w:rsid w:val="00361CAF"/>
    <w:rsid w:val="0036554E"/>
    <w:rsid w:val="003775FD"/>
    <w:rsid w:val="00383101"/>
    <w:rsid w:val="00384AF2"/>
    <w:rsid w:val="00397061"/>
    <w:rsid w:val="003971DD"/>
    <w:rsid w:val="003C0A92"/>
    <w:rsid w:val="003C0EC6"/>
    <w:rsid w:val="003C409F"/>
    <w:rsid w:val="003E61CA"/>
    <w:rsid w:val="003E7560"/>
    <w:rsid w:val="003F6E92"/>
    <w:rsid w:val="00400C96"/>
    <w:rsid w:val="00404BF1"/>
    <w:rsid w:val="00432FB1"/>
    <w:rsid w:val="004676DD"/>
    <w:rsid w:val="00484ECF"/>
    <w:rsid w:val="004A2B84"/>
    <w:rsid w:val="004A7597"/>
    <w:rsid w:val="004D57C5"/>
    <w:rsid w:val="004E2A0A"/>
    <w:rsid w:val="00500EFC"/>
    <w:rsid w:val="00504BD8"/>
    <w:rsid w:val="00532069"/>
    <w:rsid w:val="00542832"/>
    <w:rsid w:val="005449C8"/>
    <w:rsid w:val="0054781D"/>
    <w:rsid w:val="00550A69"/>
    <w:rsid w:val="005515FB"/>
    <w:rsid w:val="0056155C"/>
    <w:rsid w:val="005733D7"/>
    <w:rsid w:val="00591475"/>
    <w:rsid w:val="005B1F13"/>
    <w:rsid w:val="005E7F5F"/>
    <w:rsid w:val="00600CAE"/>
    <w:rsid w:val="00604D19"/>
    <w:rsid w:val="00636EE7"/>
    <w:rsid w:val="00654097"/>
    <w:rsid w:val="00656585"/>
    <w:rsid w:val="00684DC2"/>
    <w:rsid w:val="006876D2"/>
    <w:rsid w:val="00690AD8"/>
    <w:rsid w:val="006B2405"/>
    <w:rsid w:val="006B3547"/>
    <w:rsid w:val="006C5C66"/>
    <w:rsid w:val="006F6C02"/>
    <w:rsid w:val="00713978"/>
    <w:rsid w:val="007215D2"/>
    <w:rsid w:val="007517B8"/>
    <w:rsid w:val="007705BC"/>
    <w:rsid w:val="007732E9"/>
    <w:rsid w:val="00775360"/>
    <w:rsid w:val="00777A48"/>
    <w:rsid w:val="00793A09"/>
    <w:rsid w:val="007E52F0"/>
    <w:rsid w:val="007E71EC"/>
    <w:rsid w:val="007F3C22"/>
    <w:rsid w:val="007F788B"/>
    <w:rsid w:val="008038B4"/>
    <w:rsid w:val="00805553"/>
    <w:rsid w:val="00807A8E"/>
    <w:rsid w:val="00810CAB"/>
    <w:rsid w:val="00823597"/>
    <w:rsid w:val="00827CF6"/>
    <w:rsid w:val="0083199A"/>
    <w:rsid w:val="00846716"/>
    <w:rsid w:val="00861DD8"/>
    <w:rsid w:val="008675C0"/>
    <w:rsid w:val="00890311"/>
    <w:rsid w:val="008D6E51"/>
    <w:rsid w:val="008E5BBF"/>
    <w:rsid w:val="00910661"/>
    <w:rsid w:val="009131E7"/>
    <w:rsid w:val="00920EDC"/>
    <w:rsid w:val="0093103D"/>
    <w:rsid w:val="00934FC4"/>
    <w:rsid w:val="009638FF"/>
    <w:rsid w:val="00965A4C"/>
    <w:rsid w:val="009959F5"/>
    <w:rsid w:val="009A2C33"/>
    <w:rsid w:val="009A38BD"/>
    <w:rsid w:val="009C136E"/>
    <w:rsid w:val="009C2289"/>
    <w:rsid w:val="009E46B4"/>
    <w:rsid w:val="00A06E1A"/>
    <w:rsid w:val="00A07CBC"/>
    <w:rsid w:val="00A26283"/>
    <w:rsid w:val="00A36B5C"/>
    <w:rsid w:val="00A43B4D"/>
    <w:rsid w:val="00A45037"/>
    <w:rsid w:val="00A53427"/>
    <w:rsid w:val="00A70889"/>
    <w:rsid w:val="00A70E15"/>
    <w:rsid w:val="00A752F0"/>
    <w:rsid w:val="00A872B7"/>
    <w:rsid w:val="00AB05C0"/>
    <w:rsid w:val="00AD1015"/>
    <w:rsid w:val="00AE1A54"/>
    <w:rsid w:val="00AE1E2E"/>
    <w:rsid w:val="00AF2090"/>
    <w:rsid w:val="00AF315F"/>
    <w:rsid w:val="00AF3465"/>
    <w:rsid w:val="00AF3CDD"/>
    <w:rsid w:val="00B11AC0"/>
    <w:rsid w:val="00B12D3D"/>
    <w:rsid w:val="00B141BE"/>
    <w:rsid w:val="00B16F57"/>
    <w:rsid w:val="00B216BD"/>
    <w:rsid w:val="00B334E6"/>
    <w:rsid w:val="00B34C91"/>
    <w:rsid w:val="00B377B0"/>
    <w:rsid w:val="00B50A25"/>
    <w:rsid w:val="00B92FEC"/>
    <w:rsid w:val="00BB06A1"/>
    <w:rsid w:val="00BC26E8"/>
    <w:rsid w:val="00BC365C"/>
    <w:rsid w:val="00BF09C1"/>
    <w:rsid w:val="00BF1072"/>
    <w:rsid w:val="00BF6365"/>
    <w:rsid w:val="00BF7136"/>
    <w:rsid w:val="00C05C7F"/>
    <w:rsid w:val="00C05F96"/>
    <w:rsid w:val="00C46467"/>
    <w:rsid w:val="00C6173E"/>
    <w:rsid w:val="00C70A4A"/>
    <w:rsid w:val="00C7456A"/>
    <w:rsid w:val="00C75AB6"/>
    <w:rsid w:val="00C878FB"/>
    <w:rsid w:val="00CC135A"/>
    <w:rsid w:val="00CE19FA"/>
    <w:rsid w:val="00CE489C"/>
    <w:rsid w:val="00D02285"/>
    <w:rsid w:val="00D069E0"/>
    <w:rsid w:val="00D072C2"/>
    <w:rsid w:val="00D10EFE"/>
    <w:rsid w:val="00D169E7"/>
    <w:rsid w:val="00D17405"/>
    <w:rsid w:val="00D508D7"/>
    <w:rsid w:val="00D63C40"/>
    <w:rsid w:val="00D850DE"/>
    <w:rsid w:val="00D86BBC"/>
    <w:rsid w:val="00D97A09"/>
    <w:rsid w:val="00DB45AF"/>
    <w:rsid w:val="00DB71C0"/>
    <w:rsid w:val="00DD0D8B"/>
    <w:rsid w:val="00DD1BC9"/>
    <w:rsid w:val="00DD7DF3"/>
    <w:rsid w:val="00DE18CF"/>
    <w:rsid w:val="00DE4AC0"/>
    <w:rsid w:val="00DE5146"/>
    <w:rsid w:val="00DE7C88"/>
    <w:rsid w:val="00DF4428"/>
    <w:rsid w:val="00DF7AA0"/>
    <w:rsid w:val="00E02690"/>
    <w:rsid w:val="00E14FD2"/>
    <w:rsid w:val="00E25E34"/>
    <w:rsid w:val="00E32144"/>
    <w:rsid w:val="00E33F9B"/>
    <w:rsid w:val="00E34F3B"/>
    <w:rsid w:val="00E64F5F"/>
    <w:rsid w:val="00E6776E"/>
    <w:rsid w:val="00E7169B"/>
    <w:rsid w:val="00E721B9"/>
    <w:rsid w:val="00ED04CE"/>
    <w:rsid w:val="00ED27B4"/>
    <w:rsid w:val="00EE1DC6"/>
    <w:rsid w:val="00EF6624"/>
    <w:rsid w:val="00F04D51"/>
    <w:rsid w:val="00F228DC"/>
    <w:rsid w:val="00F2626D"/>
    <w:rsid w:val="00F630B3"/>
    <w:rsid w:val="00F8465E"/>
    <w:rsid w:val="00F94E20"/>
    <w:rsid w:val="00F96131"/>
    <w:rsid w:val="00FA1529"/>
    <w:rsid w:val="00FB6365"/>
    <w:rsid w:val="00FC170E"/>
    <w:rsid w:val="00FC3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721B9"/>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E721B9"/>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1B9"/>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E721B9"/>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 w:type="character" w:customStyle="1" w:styleId="authors">
    <w:name w:val="authors"/>
    <w:basedOn w:val="DefaultParagraphFont"/>
    <w:rsid w:val="00542832"/>
  </w:style>
  <w:style w:type="character" w:customStyle="1" w:styleId="Date1">
    <w:name w:val="Date1"/>
    <w:basedOn w:val="DefaultParagraphFont"/>
    <w:rsid w:val="00542832"/>
  </w:style>
  <w:style w:type="character" w:customStyle="1" w:styleId="arttitle">
    <w:name w:val="art_title"/>
    <w:basedOn w:val="DefaultParagraphFont"/>
    <w:rsid w:val="00542832"/>
  </w:style>
  <w:style w:type="character" w:customStyle="1" w:styleId="serialtitle">
    <w:name w:val="serial_title"/>
    <w:basedOn w:val="DefaultParagraphFont"/>
    <w:rsid w:val="00542832"/>
  </w:style>
  <w:style w:type="character" w:customStyle="1" w:styleId="volumeissue">
    <w:name w:val="volume_issue"/>
    <w:basedOn w:val="DefaultParagraphFont"/>
    <w:rsid w:val="00542832"/>
  </w:style>
  <w:style w:type="character" w:customStyle="1" w:styleId="pagerange">
    <w:name w:val="page_range"/>
    <w:basedOn w:val="DefaultParagraphFont"/>
    <w:rsid w:val="00542832"/>
  </w:style>
  <w:style w:type="character" w:customStyle="1" w:styleId="doilink">
    <w:name w:val="doi_link"/>
    <w:basedOn w:val="DefaultParagraphFont"/>
    <w:rsid w:val="00542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61312039">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30033790">
      <w:bodyDiv w:val="1"/>
      <w:marLeft w:val="0"/>
      <w:marRight w:val="0"/>
      <w:marTop w:val="0"/>
      <w:marBottom w:val="0"/>
      <w:divBdr>
        <w:top w:val="none" w:sz="0" w:space="0" w:color="auto"/>
        <w:left w:val="none" w:sz="0" w:space="0" w:color="auto"/>
        <w:bottom w:val="none" w:sz="0" w:space="0" w:color="auto"/>
        <w:right w:val="none" w:sz="0" w:space="0" w:color="auto"/>
      </w:divBdr>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620144999">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68788470">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5</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2021-08-08T23:35:00Z</dcterms:created>
  <dcterms:modified xsi:type="dcterms:W3CDTF">2021-08-09T03:57:00Z</dcterms:modified>
</cp:coreProperties>
</file>