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10CAB" w:rsidRDefault="00DF7AA0" w:rsidP="00DF7AA0">
      <w:pPr>
        <w:rPr>
          <w:rFonts w:cs="Times New Roman"/>
          <w:szCs w:val="24"/>
        </w:rPr>
      </w:pPr>
    </w:p>
    <w:p w14:paraId="25B3138F" w14:textId="77777777" w:rsidR="00DF7AA0" w:rsidRPr="00810CAB" w:rsidRDefault="00DF7AA0" w:rsidP="00DF7AA0">
      <w:pPr>
        <w:rPr>
          <w:rFonts w:cs="Times New Roman"/>
          <w:szCs w:val="24"/>
        </w:rPr>
      </w:pPr>
    </w:p>
    <w:p w14:paraId="62022353" w14:textId="77777777" w:rsidR="00DF7AA0" w:rsidRPr="00810CAB" w:rsidRDefault="00DF7AA0" w:rsidP="00DF7AA0">
      <w:pPr>
        <w:jc w:val="center"/>
        <w:rPr>
          <w:rFonts w:cs="Times New Roman"/>
          <w:szCs w:val="24"/>
        </w:rPr>
      </w:pPr>
    </w:p>
    <w:p w14:paraId="4EC10BDB" w14:textId="77777777" w:rsidR="000C2FB6" w:rsidRPr="00810CAB"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810CAB">
        <w:rPr>
          <w:rFonts w:cs="Times New Roman"/>
          <w:szCs w:val="24"/>
        </w:rPr>
        <w:t>LIBERTY UNIVERSITY</w:t>
      </w:r>
    </w:p>
    <w:p w14:paraId="5EF0BF4D" w14:textId="77777777" w:rsidR="000C2FB6" w:rsidRPr="00810CAB" w:rsidRDefault="000C2FB6" w:rsidP="000C2FB6">
      <w:pPr>
        <w:jc w:val="center"/>
        <w:rPr>
          <w:rFonts w:cs="Times New Roman"/>
          <w:szCs w:val="24"/>
        </w:rPr>
      </w:pPr>
      <w:r w:rsidRPr="00810CAB">
        <w:rPr>
          <w:rFonts w:cs="Times New Roman"/>
          <w:szCs w:val="24"/>
        </w:rPr>
        <w:t xml:space="preserve">JOHN W. RAWLINGS SCHOOL OF DIVINITY </w:t>
      </w:r>
    </w:p>
    <w:p w14:paraId="54E7D8A5" w14:textId="77777777" w:rsidR="000C2FB6" w:rsidRPr="00810CAB" w:rsidRDefault="000C2FB6" w:rsidP="000C2FB6">
      <w:pPr>
        <w:jc w:val="center"/>
        <w:rPr>
          <w:rFonts w:cs="Times New Roman"/>
          <w:szCs w:val="24"/>
        </w:rPr>
      </w:pPr>
    </w:p>
    <w:p w14:paraId="5D6F0C74" w14:textId="77777777" w:rsidR="000C2FB6" w:rsidRPr="00810CAB" w:rsidRDefault="000C2FB6" w:rsidP="000C2FB6">
      <w:pPr>
        <w:rPr>
          <w:rFonts w:cs="Times New Roman"/>
          <w:szCs w:val="24"/>
        </w:rPr>
      </w:pPr>
    </w:p>
    <w:p w14:paraId="083DA82B" w14:textId="582AF937" w:rsidR="000C2FB6" w:rsidRPr="00810CAB" w:rsidRDefault="00BC365C" w:rsidP="00B216BD">
      <w:pPr>
        <w:spacing w:line="240" w:lineRule="auto"/>
        <w:jc w:val="center"/>
        <w:rPr>
          <w:rFonts w:cs="Times New Roman"/>
          <w:b/>
          <w:bCs/>
          <w:szCs w:val="24"/>
        </w:rPr>
      </w:pPr>
      <w:r>
        <w:rPr>
          <w:rFonts w:cs="Times New Roman"/>
          <w:b/>
          <w:bCs/>
          <w:szCs w:val="24"/>
        </w:rPr>
        <w:t>Content Essay: Ruth Assignment</w:t>
      </w:r>
    </w:p>
    <w:p w14:paraId="47F87442" w14:textId="394126F7" w:rsidR="00B216BD" w:rsidRPr="00810CAB" w:rsidRDefault="00B216BD" w:rsidP="000C2FB6">
      <w:pPr>
        <w:rPr>
          <w:rFonts w:cs="Times New Roman"/>
          <w:szCs w:val="24"/>
        </w:rPr>
      </w:pPr>
    </w:p>
    <w:p w14:paraId="1380B3F7" w14:textId="4B84C33A" w:rsidR="00B216BD" w:rsidRPr="00810CAB" w:rsidRDefault="00B216BD" w:rsidP="000C2FB6">
      <w:pPr>
        <w:rPr>
          <w:rFonts w:cs="Times New Roman"/>
          <w:szCs w:val="24"/>
        </w:rPr>
      </w:pPr>
    </w:p>
    <w:p w14:paraId="3F426043" w14:textId="77777777" w:rsidR="00B216BD" w:rsidRPr="00810CAB" w:rsidRDefault="00B216BD" w:rsidP="000C2FB6">
      <w:pPr>
        <w:rPr>
          <w:rFonts w:cs="Times New Roman"/>
          <w:szCs w:val="24"/>
        </w:rPr>
      </w:pPr>
    </w:p>
    <w:p w14:paraId="25E2A9D8" w14:textId="77777777" w:rsidR="00BC365C" w:rsidRPr="00872F9C" w:rsidRDefault="00BC365C" w:rsidP="00BC365C">
      <w:pPr>
        <w:jc w:val="center"/>
        <w:rPr>
          <w:rFonts w:cs="Times New Roman"/>
          <w:szCs w:val="24"/>
        </w:rPr>
      </w:pPr>
      <w:bookmarkStart w:id="9" w:name="_Toc76732062"/>
      <w:bookmarkStart w:id="10" w:name="_Toc76513000"/>
      <w:bookmarkStart w:id="11" w:name="_Toc73326369"/>
      <w:r w:rsidRPr="00872F9C">
        <w:rPr>
          <w:rFonts w:cs="Times New Roman"/>
          <w:szCs w:val="24"/>
        </w:rPr>
        <w:t xml:space="preserve">Submitted to </w:t>
      </w:r>
      <w:r>
        <w:rPr>
          <w:rFonts w:cs="Times New Roman"/>
          <w:szCs w:val="24"/>
        </w:rPr>
        <w:t>Dr. Daniel Gurtner</w:t>
      </w:r>
    </w:p>
    <w:p w14:paraId="039A9119" w14:textId="77777777" w:rsidR="00BC365C" w:rsidRPr="00872F9C" w:rsidRDefault="00BC365C" w:rsidP="00BC365C">
      <w:pPr>
        <w:jc w:val="center"/>
        <w:rPr>
          <w:rFonts w:cs="Times New Roman"/>
          <w:szCs w:val="24"/>
        </w:rPr>
      </w:pPr>
      <w:r w:rsidRPr="00872F9C">
        <w:rPr>
          <w:rFonts w:cs="Times New Roman"/>
          <w:szCs w:val="24"/>
        </w:rPr>
        <w:t xml:space="preserve">in partial fulfillment of the requirements for the completion of </w:t>
      </w:r>
    </w:p>
    <w:p w14:paraId="5BBD2673" w14:textId="77777777" w:rsidR="00BC365C" w:rsidRPr="00872F9C" w:rsidRDefault="00BC365C" w:rsidP="00BC365C">
      <w:pPr>
        <w:jc w:val="center"/>
        <w:rPr>
          <w:rFonts w:cs="Times New Roman"/>
          <w:szCs w:val="24"/>
        </w:rPr>
      </w:pPr>
    </w:p>
    <w:p w14:paraId="0278F6BA" w14:textId="77777777" w:rsidR="00BC365C" w:rsidRPr="00872F9C" w:rsidRDefault="00BC365C" w:rsidP="00BC365C">
      <w:pPr>
        <w:jc w:val="center"/>
        <w:rPr>
          <w:rFonts w:cs="Times New Roman"/>
          <w:szCs w:val="24"/>
        </w:rPr>
      </w:pPr>
    </w:p>
    <w:p w14:paraId="759DF517" w14:textId="77777777" w:rsidR="00BC365C" w:rsidRPr="00872F9C" w:rsidRDefault="00BC365C" w:rsidP="00BC365C">
      <w:pPr>
        <w:jc w:val="center"/>
        <w:rPr>
          <w:rFonts w:cs="Times New Roman"/>
          <w:szCs w:val="24"/>
        </w:rPr>
      </w:pPr>
      <w:r>
        <w:rPr>
          <w:rFonts w:cs="Times New Roman"/>
          <w:szCs w:val="24"/>
        </w:rPr>
        <w:t>OBST 515- D02</w:t>
      </w:r>
    </w:p>
    <w:p w14:paraId="47D0640D" w14:textId="77777777" w:rsidR="00BC365C" w:rsidRPr="00872F9C" w:rsidRDefault="00BC365C" w:rsidP="00BC365C">
      <w:pPr>
        <w:jc w:val="center"/>
        <w:rPr>
          <w:rFonts w:cs="Times New Roman"/>
          <w:szCs w:val="24"/>
        </w:rPr>
      </w:pPr>
      <w:r>
        <w:rPr>
          <w:rFonts w:cs="Times New Roman"/>
          <w:szCs w:val="24"/>
        </w:rPr>
        <w:t>Old Testament Orientation</w:t>
      </w:r>
    </w:p>
    <w:p w14:paraId="209B1879" w14:textId="77777777" w:rsidR="00BC365C" w:rsidRPr="00872F9C" w:rsidRDefault="00BC365C" w:rsidP="00BC365C">
      <w:pPr>
        <w:jc w:val="center"/>
        <w:rPr>
          <w:rFonts w:cs="Times New Roman"/>
          <w:szCs w:val="24"/>
        </w:rPr>
      </w:pPr>
    </w:p>
    <w:p w14:paraId="790693F3" w14:textId="77777777" w:rsidR="00BC365C" w:rsidRPr="00872F9C" w:rsidRDefault="00BC365C" w:rsidP="00BC365C">
      <w:pPr>
        <w:jc w:val="center"/>
        <w:rPr>
          <w:rFonts w:cs="Times New Roman"/>
          <w:szCs w:val="24"/>
        </w:rPr>
      </w:pPr>
    </w:p>
    <w:p w14:paraId="0C66C1C0" w14:textId="77777777" w:rsidR="00BC365C" w:rsidRPr="00872F9C" w:rsidRDefault="00BC365C" w:rsidP="00BC365C">
      <w:pPr>
        <w:jc w:val="center"/>
        <w:rPr>
          <w:rFonts w:cs="Times New Roman"/>
          <w:szCs w:val="24"/>
        </w:rPr>
      </w:pPr>
      <w:r w:rsidRPr="00872F9C">
        <w:rPr>
          <w:rFonts w:cs="Times New Roman"/>
          <w:szCs w:val="24"/>
        </w:rPr>
        <w:t>by</w:t>
      </w:r>
    </w:p>
    <w:p w14:paraId="5D238896" w14:textId="77777777" w:rsidR="00BC365C" w:rsidRPr="00872F9C" w:rsidRDefault="00BC365C" w:rsidP="00BC365C">
      <w:pPr>
        <w:rPr>
          <w:rFonts w:cs="Times New Roman"/>
          <w:szCs w:val="24"/>
        </w:rPr>
      </w:pPr>
    </w:p>
    <w:p w14:paraId="373BD848" w14:textId="77777777" w:rsidR="00BC365C" w:rsidRPr="00872F9C" w:rsidRDefault="00BC365C" w:rsidP="00BC365C">
      <w:pPr>
        <w:jc w:val="center"/>
        <w:rPr>
          <w:rFonts w:cs="Times New Roman"/>
          <w:szCs w:val="24"/>
        </w:rPr>
      </w:pPr>
      <w:r w:rsidRPr="00872F9C">
        <w:rPr>
          <w:rFonts w:cs="Times New Roman"/>
          <w:szCs w:val="24"/>
        </w:rPr>
        <w:t>Kingsley O. Nyakagwa</w:t>
      </w:r>
    </w:p>
    <w:p w14:paraId="0DE50A51" w14:textId="764BCFD8" w:rsidR="00BC365C" w:rsidRPr="00872F9C" w:rsidRDefault="00BC365C" w:rsidP="00BC365C">
      <w:pPr>
        <w:jc w:val="center"/>
        <w:rPr>
          <w:rFonts w:cs="Times New Roman"/>
          <w:szCs w:val="24"/>
        </w:rPr>
      </w:pPr>
      <w:bookmarkStart w:id="12" w:name="__RefHeading___Toc523_3372919366"/>
      <w:bookmarkStart w:id="13" w:name="__RefHeading___Toc305_3372919366"/>
      <w:bookmarkEnd w:id="12"/>
      <w:bookmarkEnd w:id="13"/>
      <w:r>
        <w:rPr>
          <w:rFonts w:cs="Times New Roman"/>
          <w:szCs w:val="24"/>
        </w:rPr>
        <w:t xml:space="preserve">July </w:t>
      </w:r>
      <w:r>
        <w:rPr>
          <w:rFonts w:cs="Times New Roman"/>
          <w:szCs w:val="24"/>
        </w:rPr>
        <w:t>25</w:t>
      </w:r>
      <w:r w:rsidRPr="00872F9C">
        <w:rPr>
          <w:rFonts w:cs="Times New Roman"/>
          <w:szCs w:val="24"/>
        </w:rPr>
        <w:t>, 2021</w:t>
      </w:r>
    </w:p>
    <w:bookmarkEnd w:id="0"/>
    <w:bookmarkEnd w:id="1"/>
    <w:bookmarkEnd w:id="2"/>
    <w:bookmarkEnd w:id="3"/>
    <w:bookmarkEnd w:id="4"/>
    <w:bookmarkEnd w:id="5"/>
    <w:bookmarkEnd w:id="6"/>
    <w:bookmarkEnd w:id="7"/>
    <w:bookmarkEnd w:id="8"/>
    <w:bookmarkEnd w:id="9"/>
    <w:bookmarkEnd w:id="10"/>
    <w:bookmarkEnd w:id="11"/>
    <w:p w14:paraId="077F3532" w14:textId="055F2652" w:rsidR="00DF7AA0" w:rsidRPr="00FC3EA2" w:rsidRDefault="00DF7AA0" w:rsidP="00FC3EA2">
      <w:pPr>
        <w:pStyle w:val="Heading1"/>
        <w:spacing w:before="240" w:line="240" w:lineRule="auto"/>
        <w:jc w:val="left"/>
        <w:sectPr w:rsidR="00DF7AA0" w:rsidRPr="00FC3EA2" w:rsidSect="00A36B5C">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44E681F7" w14:textId="77777777" w:rsidR="004A7597" w:rsidRDefault="004A7597" w:rsidP="004A7597">
      <w:pPr>
        <w:pStyle w:val="NormalWeb"/>
        <w:spacing w:before="0" w:beforeAutospacing="0" w:after="0" w:afterAutospacing="0" w:line="480" w:lineRule="auto"/>
        <w:ind w:firstLine="720"/>
        <w:rPr>
          <w:color w:val="0E101A"/>
        </w:rPr>
      </w:pPr>
      <w:r>
        <w:rPr>
          <w:color w:val="0E101A"/>
        </w:rPr>
        <w:lastRenderedPageBreak/>
        <w:t>Much has been said about redemption, but no book paints better imagery than the book of Ruth. A young Moabite woman loses her husband to the cruel hands of death. Later, her mother-in-law decides to go back to her country. The young woman faces a choice to either go back to her father’s house or follow her mother-in-law to the foreign land. By faith, she opts for the latter. In the foreign land, she finds a man who redeems and marries her. She would later give birth to a son whose lineage would eventually be that of the Lord Jesus Christ. This is the story of Ruth.</w:t>
      </w:r>
    </w:p>
    <w:p w14:paraId="5A14C462" w14:textId="7F7D0B34" w:rsidR="004A7597" w:rsidRDefault="004A7597" w:rsidP="004A7597">
      <w:pPr>
        <w:pStyle w:val="NormalWeb"/>
        <w:spacing w:before="0" w:beforeAutospacing="0" w:after="0" w:afterAutospacing="0" w:line="480" w:lineRule="auto"/>
        <w:ind w:firstLine="720"/>
        <w:rPr>
          <w:color w:val="0E101A"/>
        </w:rPr>
      </w:pPr>
      <w:r>
        <w:rPr>
          <w:color w:val="0E101A"/>
        </w:rPr>
        <w:t>The story of Ruth is proof not only of how God can right things but also evidence of how God can follow his word to fulfill it. God looks mercifully on the wretched, abject, and outcast, and out of compassion, sends his son Jesus Christ to be the Savior not of the Jews only, but also of the Gentiles.</w:t>
      </w:r>
      <w:r>
        <w:rPr>
          <w:rStyle w:val="FootnoteReference"/>
        </w:rPr>
        <w:footnoteReference w:id="1"/>
      </w:r>
      <w:r>
        <w:rPr>
          <w:color w:val="0E101A"/>
        </w:rPr>
        <w:t> God had promised humankind that the offspring of the woman shall crush the serpent's head (Gen 3:15, NIV).</w:t>
      </w:r>
      <w:r>
        <w:rPr>
          <w:rStyle w:val="FootnoteReference"/>
        </w:rPr>
        <w:footnoteReference w:id="2"/>
      </w:r>
      <w:r>
        <w:rPr>
          <w:color w:val="0E101A"/>
        </w:rPr>
        <w:t> In the book of Ruth, he demonstrates his promise by interweaving the lineage of this offspring that will defeat the serpent. Such creativity makes some scholars look at the book of Ruth as a screenplay of God’s promise. Worth mentioning is Ed Hindson's description of the book of Ruth as a four-act play.</w:t>
      </w:r>
      <w:r>
        <w:rPr>
          <w:rStyle w:val="FootnoteReference"/>
        </w:rPr>
        <w:footnoteReference w:id="3"/>
      </w:r>
      <w:r>
        <w:rPr>
          <w:color w:val="0E101A"/>
        </w:rPr>
        <w:t> James McKeown also notes, “The book of Ruth also overflows with allusions to Genesis, and its theological implications become much clearer when we study it in the light of Genesis.</w:t>
      </w:r>
      <w:r w:rsidRPr="004A7597">
        <w:rPr>
          <w:rStyle w:val="FootnoteReference"/>
        </w:rPr>
        <w:t xml:space="preserve"> </w:t>
      </w:r>
      <w:r>
        <w:rPr>
          <w:rStyle w:val="FootnoteReference"/>
        </w:rPr>
        <w:footnoteReference w:id="4"/>
      </w:r>
      <w:r>
        <w:t xml:space="preserve"> </w:t>
      </w:r>
    </w:p>
    <w:p w14:paraId="69BED3C4" w14:textId="37F981B6" w:rsidR="004A7597" w:rsidRDefault="004A7597" w:rsidP="004A7597">
      <w:pPr>
        <w:pStyle w:val="NormalWeb"/>
        <w:spacing w:before="0" w:beforeAutospacing="0" w:after="0" w:afterAutospacing="0" w:line="480" w:lineRule="auto"/>
        <w:ind w:firstLine="720"/>
        <w:rPr>
          <w:color w:val="0E101A"/>
        </w:rPr>
      </w:pPr>
      <w:r>
        <w:rPr>
          <w:color w:val="0E101A"/>
        </w:rPr>
        <w:t xml:space="preserve">The significance of Ruth’s lineage can be discovered by looking at the origin of the Moabites. Genesis 19: 30-38 summarily describes how Lot’s daughters took advantage of their </w:t>
      </w:r>
      <w:r>
        <w:rPr>
          <w:color w:val="0E101A"/>
        </w:rPr>
        <w:lastRenderedPageBreak/>
        <w:t>drunk father and slept with him. The result is that they became pregnant and bore children to Lot. Lot’s eldest daughter eventually bore a son who she named Moab from whence originated the Moabites. As per Old Testament legalities, marriage to foreign women sometimes was frowned upon or even condemned. According to N. Scott Amos, "Intermarriage usually involved accepting not just the foreign wife but her gods as well."</w:t>
      </w:r>
      <w:r w:rsidRPr="004A7597">
        <w:rPr>
          <w:rStyle w:val="FootnoteReference"/>
        </w:rPr>
        <w:t xml:space="preserve"> </w:t>
      </w:r>
      <w:r>
        <w:rPr>
          <w:rStyle w:val="FootnoteReference"/>
        </w:rPr>
        <w:footnoteReference w:id="5"/>
      </w:r>
      <w:r>
        <w:rPr>
          <w:color w:val="0E101A"/>
        </w:rPr>
        <w:t> Take an example of Solomon; he not only married a large number of foreign women but also built temples for their gods and even worshiped them (1 Kgs 11:1-8). That said, there are other instances in which foreign marriages were not explicitly condemned. For example, Abraham married Keturah after Sarah’s death (Gen 25:1); Joseph married the daughter of an Egyptian high priest (Gen 41:45); Moses married the daughter of the priest of Midian (Ex 2:21), and Esther married King Xerxes (Es 2:17).</w:t>
      </w:r>
    </w:p>
    <w:p w14:paraId="58CF032F" w14:textId="032B152A" w:rsidR="004A7597" w:rsidRDefault="004A7597" w:rsidP="004A7597">
      <w:pPr>
        <w:pStyle w:val="NormalWeb"/>
        <w:spacing w:before="0" w:beforeAutospacing="0" w:after="0" w:afterAutospacing="0" w:line="480" w:lineRule="auto"/>
        <w:ind w:firstLine="720"/>
        <w:rPr>
          <w:color w:val="0E101A"/>
        </w:rPr>
      </w:pPr>
      <w:r>
        <w:rPr>
          <w:color w:val="0E101A"/>
        </w:rPr>
        <w:t>That said, Ruth being a Moabite put her in the hall of infamy among the Jews. In the Jewish tradition, a Moabite woman would not have been considered a heroine. Firstly, because of her gender and secondly because she was a Moabite. Besides, she would not have been considered to be in the family line of Jesus Christ. Thus, it is rather surprising that the book of Ruth describes how the sad and suffering but pious woman Ruth, originating from Moab, was by the mercy and goodness of God grafted into the people of Israel through marriage with an ancestor of David.”</w:t>
      </w:r>
      <w:r w:rsidRPr="004A7597">
        <w:rPr>
          <w:rStyle w:val="FootnoteReference"/>
        </w:rPr>
        <w:t xml:space="preserve"> </w:t>
      </w:r>
      <w:r>
        <w:rPr>
          <w:rStyle w:val="FootnoteReference"/>
        </w:rPr>
        <w:footnoteReference w:id="6"/>
      </w:r>
      <w:r>
        <w:rPr>
          <w:color w:val="0E101A"/>
        </w:rPr>
        <w:t xml:space="preserve"> Her story reminds those who feel excluded that through faith in Christ they can join God’s family. Besides, it demonstrates the motif that one can move from emptiness to fullness. N. Scott Amos avers, “Ruth’s narrative is especially useful for this purpose, so that we might know of the family of Ruth, which is immortalized in the genealogy of our Lord Jesus </w:t>
      </w:r>
      <w:r>
        <w:rPr>
          <w:color w:val="0E101A"/>
        </w:rPr>
        <w:lastRenderedPageBreak/>
        <w:t>Christ, and have a sort of commentary on what Matthew writes in the genealogy of Christ. For he says that Boaz begat Obed from Ruth.”</w:t>
      </w:r>
      <w:r w:rsidRPr="004A7597">
        <w:rPr>
          <w:rStyle w:val="FootnoteReference"/>
        </w:rPr>
        <w:t xml:space="preserve"> </w:t>
      </w:r>
      <w:r>
        <w:rPr>
          <w:rStyle w:val="FootnoteReference"/>
        </w:rPr>
        <w:footnoteReference w:id="7"/>
      </w:r>
    </w:p>
    <w:p w14:paraId="18B9FB04" w14:textId="7BAC9D34" w:rsidR="004A7597" w:rsidRDefault="004A7597" w:rsidP="004A7597">
      <w:pPr>
        <w:pStyle w:val="NormalWeb"/>
        <w:spacing w:before="0" w:beforeAutospacing="0" w:after="0" w:afterAutospacing="0" w:line="480" w:lineRule="auto"/>
        <w:ind w:firstLine="720"/>
        <w:rPr>
          <w:color w:val="0E101A"/>
        </w:rPr>
      </w:pPr>
      <w:r>
        <w:rPr>
          <w:color w:val="0E101A"/>
        </w:rPr>
        <w:t>Regarding the significance of Boaz's role as a “kinsman-redeemer,” it suffices to talk about the legality of the Jewish customs as it pertains to inheritance and raising a name for the deceased. The reason is that the book of Ruth draws on these two customs found in Leviticus 25 and Deuteronomy 25 to demonstrate what had to be done for Ruth to be assimilated into the Jewish family. Brad Embry observes, “These two features and their combination is the express concern of Numbers 27 and 36 and best provides the legal force to Boaz's comments regarding the marriage of Ruth. But, because something is being sold, the custom of the kinsman-redeemer can also be activated.”</w:t>
      </w:r>
      <w:r w:rsidRPr="004A7597">
        <w:rPr>
          <w:rStyle w:val="FootnoteReference"/>
        </w:rPr>
        <w:t xml:space="preserve"> </w:t>
      </w:r>
      <w:r>
        <w:rPr>
          <w:rStyle w:val="FootnoteReference"/>
        </w:rPr>
        <w:footnoteReference w:id="8"/>
      </w:r>
    </w:p>
    <w:p w14:paraId="31DF933C" w14:textId="6CE692E3" w:rsidR="004A7597" w:rsidRDefault="004A7597" w:rsidP="004A7597">
      <w:pPr>
        <w:pStyle w:val="NormalWeb"/>
        <w:spacing w:before="0" w:beforeAutospacing="0" w:after="0" w:afterAutospacing="0" w:line="480" w:lineRule="auto"/>
        <w:ind w:firstLine="720"/>
        <w:rPr>
          <w:color w:val="0E101A"/>
        </w:rPr>
      </w:pPr>
      <w:r>
        <w:rPr>
          <w:color w:val="0E101A"/>
        </w:rPr>
        <w:t>In terms of prophecy, though no prophets are involved and no religious institutions are mentioned, the book of Ruth holds some prophetic significance concerning the legality of the kinsman-redeemer. N. Scott Amos asserts, “In this history, there is shown to us the hope which the fathers had concerning the calling of the Gentiles; for this marriage of Ruth into the kindred of Christ, she who was a Gentile and by nature, none of the people of God, plainly foretold that the Gentiles should be called in Christ.”</w:t>
      </w:r>
      <w:r w:rsidRPr="004A7597">
        <w:rPr>
          <w:rStyle w:val="FootnoteReference"/>
        </w:rPr>
        <w:t xml:space="preserve"> </w:t>
      </w:r>
      <w:r>
        <w:rPr>
          <w:rStyle w:val="FootnoteReference"/>
        </w:rPr>
        <w:footnoteReference w:id="9"/>
      </w:r>
      <w:r>
        <w:rPr>
          <w:color w:val="0E101A"/>
        </w:rPr>
        <w:t xml:space="preserve"> The Gentiles on account of being separated from God could not just join the family of God. They had to be justified in the heavenly courts to join the family. God hence sent his son Jesus to pay the ultimate penalty, which is death, so that they can be reconciled </w:t>
      </w:r>
      <w:r w:rsidR="00282FF6">
        <w:rPr>
          <w:color w:val="0E101A"/>
        </w:rPr>
        <w:t>with him</w:t>
      </w:r>
      <w:r>
        <w:rPr>
          <w:color w:val="0E101A"/>
        </w:rPr>
        <w:t>.</w:t>
      </w:r>
    </w:p>
    <w:p w14:paraId="692022E9" w14:textId="11F2B690" w:rsidR="004A7597" w:rsidRDefault="004A7597" w:rsidP="004A7597">
      <w:pPr>
        <w:pStyle w:val="NormalWeb"/>
        <w:spacing w:before="0" w:beforeAutospacing="0" w:after="0" w:afterAutospacing="0" w:line="480" w:lineRule="auto"/>
        <w:ind w:firstLine="720"/>
        <w:rPr>
          <w:color w:val="0E101A"/>
        </w:rPr>
      </w:pPr>
      <w:r>
        <w:rPr>
          <w:color w:val="0E101A"/>
        </w:rPr>
        <w:lastRenderedPageBreak/>
        <w:t>In closing, the book of Ruth offers a glimpse of the eternal hope for Gentiles. Though empty, wretched, and lost, they have hope and a future in the person of Jesus Christ. Like Ruth, if they forsake their gods and follow the true God, they shall join God’s family. God has already atoned for the</w:t>
      </w:r>
      <w:r w:rsidR="00282FF6">
        <w:rPr>
          <w:color w:val="0E101A"/>
        </w:rPr>
        <w:t>ir sins</w:t>
      </w:r>
      <w:r>
        <w:rPr>
          <w:color w:val="0E101A"/>
        </w:rPr>
        <w:t xml:space="preserve"> in the person of Jesus Christ. On the cross, he paid the price and redeemed them. They have been bought by the precious blood of Jesus Christ. They only need to believe.</w:t>
      </w:r>
    </w:p>
    <w:p w14:paraId="4B77CA8C" w14:textId="4DA23C3E" w:rsidR="004A7597" w:rsidRDefault="004A7597" w:rsidP="004A7597">
      <w:pPr>
        <w:ind w:firstLine="720"/>
      </w:pPr>
      <w:r>
        <w:br w:type="page"/>
      </w:r>
    </w:p>
    <w:p w14:paraId="3B888F0C" w14:textId="6B78241C" w:rsidR="00DD7DF3" w:rsidRPr="00810CAB" w:rsidRDefault="00DD7DF3" w:rsidP="00E721B9">
      <w:pPr>
        <w:pStyle w:val="Heading1"/>
      </w:pPr>
      <w:bookmarkStart w:id="14" w:name="_Toc76732070"/>
      <w:r w:rsidRPr="00810CAB">
        <w:lastRenderedPageBreak/>
        <w:t>Bibliography</w:t>
      </w:r>
      <w:bookmarkEnd w:id="14"/>
    </w:p>
    <w:p w14:paraId="589E6882" w14:textId="77777777" w:rsidR="00B50A25" w:rsidRPr="00B50A25" w:rsidRDefault="00B50A25" w:rsidP="00B50A25">
      <w:pPr>
        <w:spacing w:after="240" w:line="240" w:lineRule="auto"/>
        <w:ind w:left="720" w:hanging="720"/>
        <w:rPr>
          <w:rFonts w:cs="Times New Roman"/>
          <w:color w:val="212529"/>
          <w:szCs w:val="24"/>
          <w:shd w:val="clear" w:color="auto" w:fill="FFFFFF"/>
        </w:rPr>
      </w:pPr>
      <w:bookmarkStart w:id="15" w:name="_Hlk78147677"/>
      <w:r w:rsidRPr="00B50A25">
        <w:rPr>
          <w:rFonts w:cs="Times New Roman"/>
          <w:color w:val="555555"/>
          <w:szCs w:val="24"/>
          <w:shd w:val="clear" w:color="auto" w:fill="FFFFFF"/>
        </w:rPr>
        <w:t>Amos, N. Scott. </w:t>
      </w:r>
      <w:r w:rsidRPr="00B50A25">
        <w:rPr>
          <w:rFonts w:cs="Times New Roman"/>
          <w:i/>
          <w:iCs/>
          <w:color w:val="555555"/>
          <w:szCs w:val="24"/>
        </w:rPr>
        <w:t>Joshua, Judges, Ruth</w:t>
      </w:r>
      <w:r w:rsidRPr="00B50A25">
        <w:rPr>
          <w:rFonts w:cs="Times New Roman"/>
          <w:color w:val="555555"/>
          <w:szCs w:val="24"/>
          <w:shd w:val="clear" w:color="auto" w:fill="FFFFFF"/>
        </w:rPr>
        <w:t xml:space="preserve">. Westmont: InterVarsity Press, 2020. </w:t>
      </w:r>
    </w:p>
    <w:p w14:paraId="501C283B" w14:textId="77777777" w:rsidR="00B50A25" w:rsidRPr="00B50A25" w:rsidRDefault="00B50A25" w:rsidP="00B50A25">
      <w:pPr>
        <w:spacing w:after="240" w:line="240" w:lineRule="auto"/>
        <w:ind w:left="720" w:hanging="720"/>
        <w:rPr>
          <w:rStyle w:val="pagerange"/>
          <w:rFonts w:cs="Times New Roman"/>
          <w:color w:val="333333"/>
          <w:szCs w:val="24"/>
          <w:shd w:val="clear" w:color="auto" w:fill="FFFFFF"/>
        </w:rPr>
      </w:pPr>
      <w:bookmarkStart w:id="16" w:name="_Hlk78152411"/>
      <w:bookmarkEnd w:id="15"/>
      <w:r w:rsidRPr="00B50A25">
        <w:rPr>
          <w:rStyle w:val="pagerange"/>
          <w:rFonts w:cs="Times New Roman"/>
          <w:color w:val="333333"/>
          <w:szCs w:val="24"/>
          <w:shd w:val="clear" w:color="auto" w:fill="FFFFFF"/>
        </w:rPr>
        <w:t>Embry, Brad. “Legalities In the Book of Ruth: A Renewed Look</w:t>
      </w:r>
      <w:r w:rsidRPr="00B50A25">
        <w:rPr>
          <w:rStyle w:val="pagerange"/>
          <w:rFonts w:cs="Times New Roman"/>
          <w:i/>
          <w:iCs/>
          <w:color w:val="333333"/>
          <w:szCs w:val="24"/>
          <w:shd w:val="clear" w:color="auto" w:fill="FFFFFF"/>
        </w:rPr>
        <w:t>.” Journal For the Study of The Old Testament</w:t>
      </w:r>
      <w:r w:rsidRPr="00B50A25">
        <w:rPr>
          <w:rStyle w:val="pagerange"/>
          <w:rFonts w:cs="Times New Roman"/>
          <w:color w:val="333333"/>
          <w:szCs w:val="24"/>
          <w:shd w:val="clear" w:color="auto" w:fill="FFFFFF"/>
        </w:rPr>
        <w:t>, Vol 41.1 (2016): 31-44.</w:t>
      </w:r>
      <w:bookmarkEnd w:id="16"/>
    </w:p>
    <w:p w14:paraId="63403394" w14:textId="77777777" w:rsidR="00B50A25" w:rsidRPr="00B50A25" w:rsidRDefault="00B50A25" w:rsidP="00B50A25">
      <w:pPr>
        <w:spacing w:after="240" w:line="240" w:lineRule="auto"/>
        <w:ind w:left="720" w:hanging="720"/>
        <w:rPr>
          <w:rFonts w:cs="Times New Roman"/>
          <w:color w:val="333333"/>
          <w:szCs w:val="24"/>
          <w:shd w:val="clear" w:color="auto" w:fill="FFFFFF"/>
        </w:rPr>
      </w:pPr>
      <w:r w:rsidRPr="00B50A25">
        <w:rPr>
          <w:rFonts w:cs="Times New Roman"/>
          <w:szCs w:val="24"/>
        </w:rPr>
        <w:t>Hindson</w:t>
      </w:r>
      <w:r w:rsidRPr="00B50A25">
        <w:rPr>
          <w:rFonts w:cs="Times New Roman"/>
          <w:szCs w:val="24"/>
        </w:rPr>
        <w:t>, Ed</w:t>
      </w:r>
      <w:r w:rsidRPr="00B50A25">
        <w:rPr>
          <w:rFonts w:cs="Times New Roman"/>
          <w:szCs w:val="24"/>
        </w:rPr>
        <w:t xml:space="preserve">. </w:t>
      </w:r>
      <w:r w:rsidRPr="00B50A25">
        <w:rPr>
          <w:rFonts w:cs="Times New Roman"/>
          <w:szCs w:val="24"/>
        </w:rPr>
        <w:t>“</w:t>
      </w:r>
      <w:r w:rsidRPr="00B50A25">
        <w:rPr>
          <w:rFonts w:cs="Times New Roman"/>
          <w:szCs w:val="24"/>
        </w:rPr>
        <w:t>Judges, Ruth.”</w:t>
      </w:r>
      <w:r w:rsidRPr="00B50A25">
        <w:rPr>
          <w:rFonts w:cs="Times New Roman"/>
          <w:szCs w:val="24"/>
        </w:rPr>
        <w:t xml:space="preserve"> Course video in </w:t>
      </w:r>
      <w:r w:rsidRPr="00B50A25">
        <w:rPr>
          <w:rFonts w:cs="Times New Roman"/>
          <w:szCs w:val="24"/>
        </w:rPr>
        <w:t>OBST 515</w:t>
      </w:r>
      <w:r w:rsidRPr="00B50A25">
        <w:rPr>
          <w:rFonts w:cs="Times New Roman"/>
          <w:szCs w:val="24"/>
        </w:rPr>
        <w:t xml:space="preserve"> at Liberty University, Lynchburg, VA, </w:t>
      </w:r>
      <w:r w:rsidRPr="00B50A25">
        <w:rPr>
          <w:rFonts w:cs="Times New Roman"/>
          <w:szCs w:val="24"/>
        </w:rPr>
        <w:t>July 25</w:t>
      </w:r>
      <w:r w:rsidRPr="00B50A25">
        <w:rPr>
          <w:rFonts w:cs="Times New Roman"/>
          <w:szCs w:val="24"/>
        </w:rPr>
        <w:t>, 2021.</w:t>
      </w:r>
    </w:p>
    <w:p w14:paraId="31078DEE" w14:textId="09DCC326" w:rsidR="00B50A25" w:rsidRDefault="00B50A25" w:rsidP="00B50A25">
      <w:pPr>
        <w:spacing w:after="240" w:line="240" w:lineRule="auto"/>
        <w:ind w:left="720" w:hanging="720"/>
        <w:rPr>
          <w:rFonts w:cs="Times New Roman"/>
          <w:color w:val="555555"/>
          <w:szCs w:val="24"/>
          <w:shd w:val="clear" w:color="auto" w:fill="FFFFFF"/>
        </w:rPr>
      </w:pPr>
      <w:bookmarkStart w:id="17" w:name="_Hlk78142376"/>
      <w:r w:rsidRPr="00B50A25">
        <w:rPr>
          <w:rFonts w:cs="Times New Roman"/>
          <w:color w:val="555555"/>
          <w:szCs w:val="24"/>
          <w:shd w:val="clear" w:color="auto" w:fill="FFFFFF"/>
        </w:rPr>
        <w:t>McKeown, James. </w:t>
      </w:r>
      <w:r w:rsidRPr="00B50A25">
        <w:rPr>
          <w:rFonts w:cs="Times New Roman"/>
          <w:i/>
          <w:iCs/>
          <w:color w:val="555555"/>
          <w:szCs w:val="24"/>
        </w:rPr>
        <w:t>Ruth</w:t>
      </w:r>
      <w:r w:rsidRPr="00B50A25">
        <w:rPr>
          <w:rFonts w:cs="Times New Roman"/>
          <w:color w:val="555555"/>
          <w:szCs w:val="24"/>
          <w:shd w:val="clear" w:color="auto" w:fill="FFFFFF"/>
        </w:rPr>
        <w:t>. Grand Rapids: William B. Eerdmans Publishing Company, 2015.</w:t>
      </w:r>
      <w:bookmarkEnd w:id="17"/>
    </w:p>
    <w:p w14:paraId="75373A8E" w14:textId="4E808DE2" w:rsidR="00B50A25" w:rsidRPr="00B50A25" w:rsidRDefault="00B50A25" w:rsidP="00B50A25">
      <w:pPr>
        <w:rPr>
          <w:rFonts w:cs="Times New Roman"/>
          <w:szCs w:val="24"/>
        </w:rPr>
      </w:pPr>
    </w:p>
    <w:p w14:paraId="34CFF104" w14:textId="285DFF18" w:rsidR="00B50A25" w:rsidRPr="00B50A25" w:rsidRDefault="00B50A25" w:rsidP="00B50A25">
      <w:pPr>
        <w:rPr>
          <w:rFonts w:cs="Times New Roman"/>
          <w:szCs w:val="24"/>
        </w:rPr>
      </w:pPr>
    </w:p>
    <w:p w14:paraId="391010FD" w14:textId="38688883" w:rsidR="00B50A25" w:rsidRPr="00B50A25" w:rsidRDefault="00B50A25" w:rsidP="00B50A25">
      <w:pPr>
        <w:rPr>
          <w:rFonts w:cs="Times New Roman"/>
          <w:szCs w:val="24"/>
        </w:rPr>
      </w:pPr>
    </w:p>
    <w:p w14:paraId="1D49D1D3" w14:textId="34034307" w:rsidR="00B50A25" w:rsidRDefault="00B50A25" w:rsidP="00B50A25">
      <w:pPr>
        <w:rPr>
          <w:rFonts w:cs="Times New Roman"/>
          <w:color w:val="555555"/>
          <w:szCs w:val="24"/>
          <w:shd w:val="clear" w:color="auto" w:fill="FFFFFF"/>
        </w:rPr>
      </w:pPr>
    </w:p>
    <w:p w14:paraId="7C2F1FEF" w14:textId="36E8FD19" w:rsidR="00B50A25" w:rsidRPr="00B50A25" w:rsidRDefault="00B50A25" w:rsidP="00B50A25">
      <w:pPr>
        <w:tabs>
          <w:tab w:val="left" w:pos="3060"/>
        </w:tabs>
        <w:rPr>
          <w:rFonts w:cs="Times New Roman"/>
          <w:szCs w:val="24"/>
        </w:rPr>
      </w:pPr>
      <w:r>
        <w:rPr>
          <w:rFonts w:cs="Times New Roman"/>
          <w:szCs w:val="24"/>
        </w:rPr>
        <w:tab/>
      </w:r>
    </w:p>
    <w:sectPr w:rsidR="00B50A25" w:rsidRPr="00B50A25" w:rsidSect="00A36B5C">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94109" w14:textId="77777777" w:rsidR="00FC170E" w:rsidRDefault="00FC170E" w:rsidP="00DF7AA0">
      <w:pPr>
        <w:spacing w:line="240" w:lineRule="auto"/>
      </w:pPr>
      <w:r>
        <w:separator/>
      </w:r>
    </w:p>
  </w:endnote>
  <w:endnote w:type="continuationSeparator" w:id="0">
    <w:p w14:paraId="3C1F28FF" w14:textId="77777777" w:rsidR="00FC170E" w:rsidRDefault="00FC170E"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FC170E"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F219F" w14:textId="77777777" w:rsidR="00FC170E" w:rsidRDefault="00FC170E" w:rsidP="00DF7AA0">
      <w:pPr>
        <w:spacing w:line="240" w:lineRule="auto"/>
      </w:pPr>
      <w:r>
        <w:separator/>
      </w:r>
    </w:p>
  </w:footnote>
  <w:footnote w:type="continuationSeparator" w:id="0">
    <w:p w14:paraId="5C4B7D24" w14:textId="77777777" w:rsidR="00FC170E" w:rsidRDefault="00FC170E" w:rsidP="00DF7AA0">
      <w:pPr>
        <w:spacing w:line="240" w:lineRule="auto"/>
      </w:pPr>
      <w:r>
        <w:continuationSeparator/>
      </w:r>
    </w:p>
  </w:footnote>
  <w:footnote w:id="1">
    <w:p w14:paraId="6983B76F" w14:textId="53FF2759" w:rsidR="004A7597" w:rsidRDefault="004A7597" w:rsidP="004A7597">
      <w:pPr>
        <w:pStyle w:val="FootnoteText"/>
      </w:pPr>
      <w:r>
        <w:rPr>
          <w:rStyle w:val="FootnoteReference"/>
        </w:rPr>
        <w:footnoteRef/>
      </w:r>
      <w:r>
        <w:t xml:space="preserve"> </w:t>
      </w:r>
      <w:r w:rsidRPr="00636EE7">
        <w:t>N. Scott</w:t>
      </w:r>
      <w:r>
        <w:t xml:space="preserve"> </w:t>
      </w:r>
      <w:r w:rsidRPr="00636EE7">
        <w:t>Amos</w:t>
      </w:r>
      <w:r>
        <w:t>,</w:t>
      </w:r>
      <w:r w:rsidRPr="00636EE7">
        <w:t xml:space="preserve"> </w:t>
      </w:r>
      <w:r w:rsidRPr="00636EE7">
        <w:rPr>
          <w:i/>
          <w:iCs/>
        </w:rPr>
        <w:t>Joshua, Judges, Ruth</w:t>
      </w:r>
      <w:r w:rsidRPr="00636EE7">
        <w:t xml:space="preserve"> </w:t>
      </w:r>
      <w:r>
        <w:t>(</w:t>
      </w:r>
      <w:r w:rsidRPr="00636EE7">
        <w:t>Westmont: InterVarsity Press, 2020</w:t>
      </w:r>
      <w:r>
        <w:t>)</w:t>
      </w:r>
      <w:r>
        <w:t xml:space="preserve">, </w:t>
      </w:r>
      <w:r>
        <w:t>458.</w:t>
      </w:r>
    </w:p>
  </w:footnote>
  <w:footnote w:id="2">
    <w:p w14:paraId="37CB30AC" w14:textId="77777777" w:rsidR="004A7597" w:rsidRDefault="004A7597" w:rsidP="004A7597">
      <w:pPr>
        <w:pStyle w:val="FootnoteText"/>
      </w:pPr>
      <w:r>
        <w:rPr>
          <w:rStyle w:val="FootnoteReference"/>
        </w:rPr>
        <w:footnoteRef/>
      </w:r>
      <w:r>
        <w:t xml:space="preserve"> </w:t>
      </w:r>
      <w:r w:rsidRPr="004B5D5D">
        <w:rPr>
          <w:rFonts w:cs="Times New Roman"/>
        </w:rPr>
        <w:t xml:space="preserve">Unless otherwise noted, all biblical passages referenced are in the </w:t>
      </w:r>
      <w:r w:rsidRPr="004B5D5D">
        <w:rPr>
          <w:rFonts w:cs="Times New Roman"/>
          <w:i/>
          <w:iCs/>
        </w:rPr>
        <w:t>New International Version</w:t>
      </w:r>
      <w:r w:rsidRPr="004B5D5D">
        <w:rPr>
          <w:rFonts w:cs="Times New Roman"/>
        </w:rPr>
        <w:t xml:space="preserve"> (Grand Rapids, MI: Zondervan, 2011).</w:t>
      </w:r>
    </w:p>
  </w:footnote>
  <w:footnote w:id="3">
    <w:p w14:paraId="0C1B6A03" w14:textId="77777777" w:rsidR="004A7597" w:rsidRDefault="004A7597" w:rsidP="004A7597">
      <w:pPr>
        <w:pStyle w:val="FootnoteText"/>
      </w:pPr>
      <w:r>
        <w:rPr>
          <w:rStyle w:val="FootnoteReference"/>
        </w:rPr>
        <w:footnoteRef/>
      </w:r>
      <w:r>
        <w:t xml:space="preserve"> </w:t>
      </w:r>
      <w:r w:rsidRPr="00E64F5F">
        <w:t>Ed</w:t>
      </w:r>
      <w:r>
        <w:t xml:space="preserve"> </w:t>
      </w:r>
      <w:r w:rsidRPr="00E64F5F">
        <w:t>Hindson, “Judges, Ruth” (Course video in OBST 515 at Liberty University, Lynchburg, VA, July 25, 2021).</w:t>
      </w:r>
    </w:p>
  </w:footnote>
  <w:footnote w:id="4">
    <w:p w14:paraId="563D3179" w14:textId="77777777" w:rsidR="004A7597" w:rsidRDefault="004A7597" w:rsidP="004A7597">
      <w:pPr>
        <w:pStyle w:val="FootnoteText"/>
      </w:pPr>
      <w:r>
        <w:rPr>
          <w:rStyle w:val="FootnoteReference"/>
        </w:rPr>
        <w:footnoteRef/>
      </w:r>
      <w:r>
        <w:t xml:space="preserve"> </w:t>
      </w:r>
      <w:r w:rsidRPr="0054781D">
        <w:t>James</w:t>
      </w:r>
      <w:r>
        <w:t xml:space="preserve"> </w:t>
      </w:r>
      <w:r w:rsidRPr="0054781D">
        <w:t xml:space="preserve">McKeown, </w:t>
      </w:r>
      <w:r w:rsidRPr="0054781D">
        <w:rPr>
          <w:i/>
          <w:iCs/>
        </w:rPr>
        <w:t>Ruth</w:t>
      </w:r>
      <w:r>
        <w:t xml:space="preserve"> (</w:t>
      </w:r>
      <w:r w:rsidRPr="0054781D">
        <w:t>Grand Rapids: William B. Eerdmans Publishing Company, 2015</w:t>
      </w:r>
      <w:r>
        <w:t>), 10</w:t>
      </w:r>
      <w:r w:rsidRPr="0054781D">
        <w:t>.</w:t>
      </w:r>
    </w:p>
  </w:footnote>
  <w:footnote w:id="5">
    <w:p w14:paraId="7C671E34" w14:textId="77777777" w:rsidR="004A7597" w:rsidRDefault="004A7597" w:rsidP="004A7597">
      <w:pPr>
        <w:pStyle w:val="FootnoteText"/>
      </w:pPr>
      <w:r>
        <w:rPr>
          <w:rStyle w:val="FootnoteReference"/>
        </w:rPr>
        <w:footnoteRef/>
      </w:r>
      <w:r>
        <w:t xml:space="preserve"> Ibid., 22.</w:t>
      </w:r>
    </w:p>
  </w:footnote>
  <w:footnote w:id="6">
    <w:p w14:paraId="718BA9D6" w14:textId="610F49F6" w:rsidR="004A7597" w:rsidRDefault="004A7597" w:rsidP="004A7597">
      <w:pPr>
        <w:pStyle w:val="FootnoteText"/>
      </w:pPr>
      <w:r>
        <w:rPr>
          <w:rStyle w:val="FootnoteReference"/>
        </w:rPr>
        <w:footnoteRef/>
      </w:r>
      <w:r>
        <w:t xml:space="preserve"> </w:t>
      </w:r>
      <w:r w:rsidRPr="00636EE7">
        <w:t>N. Scott</w:t>
      </w:r>
      <w:r>
        <w:t xml:space="preserve"> </w:t>
      </w:r>
      <w:r w:rsidRPr="00636EE7">
        <w:t>Amos</w:t>
      </w:r>
      <w:r>
        <w:t>,</w:t>
      </w:r>
      <w:r w:rsidRPr="00636EE7">
        <w:t xml:space="preserve"> </w:t>
      </w:r>
      <w:r w:rsidRPr="00636EE7">
        <w:rPr>
          <w:i/>
          <w:iCs/>
        </w:rPr>
        <w:t>Joshua, Judges, Ruth</w:t>
      </w:r>
      <w:r w:rsidRPr="00636EE7">
        <w:t xml:space="preserve"> </w:t>
      </w:r>
      <w:r>
        <w:t>(</w:t>
      </w:r>
      <w:r w:rsidRPr="00636EE7">
        <w:t>Westmont: InterVarsity Press, 2020</w:t>
      </w:r>
      <w:r>
        <w:t>)</w:t>
      </w:r>
      <w:r>
        <w:t xml:space="preserve">, </w:t>
      </w:r>
      <w:r>
        <w:t>458.</w:t>
      </w:r>
    </w:p>
  </w:footnote>
  <w:footnote w:id="7">
    <w:p w14:paraId="5F65053C" w14:textId="19C25C37" w:rsidR="004A7597" w:rsidRDefault="004A7597" w:rsidP="004A7597">
      <w:pPr>
        <w:pStyle w:val="FootnoteText"/>
      </w:pPr>
      <w:r>
        <w:rPr>
          <w:rStyle w:val="FootnoteReference"/>
        </w:rPr>
        <w:footnoteRef/>
      </w:r>
      <w:r>
        <w:t xml:space="preserve"> </w:t>
      </w:r>
      <w:r w:rsidRPr="00636EE7">
        <w:t>Amos</w:t>
      </w:r>
      <w:r>
        <w:t>,</w:t>
      </w:r>
      <w:r w:rsidRPr="00636EE7">
        <w:t xml:space="preserve"> </w:t>
      </w:r>
      <w:r w:rsidRPr="00636EE7">
        <w:rPr>
          <w:i/>
          <w:iCs/>
        </w:rPr>
        <w:t>Joshua, Judges, Ruth</w:t>
      </w:r>
      <w:r>
        <w:t>., 457</w:t>
      </w:r>
      <w:r>
        <w:t>.</w:t>
      </w:r>
    </w:p>
  </w:footnote>
  <w:footnote w:id="8">
    <w:p w14:paraId="78DF681F" w14:textId="301A7229" w:rsidR="004A7597" w:rsidRDefault="004A7597" w:rsidP="004A7597">
      <w:pPr>
        <w:pStyle w:val="FootnoteText"/>
      </w:pPr>
      <w:r>
        <w:rPr>
          <w:rStyle w:val="FootnoteReference"/>
        </w:rPr>
        <w:footnoteRef/>
      </w:r>
      <w:r>
        <w:t xml:space="preserve"> </w:t>
      </w:r>
      <w:r w:rsidRPr="00FC3EA2">
        <w:t xml:space="preserve">Brad Embry, “Legalities in the Book of Ruth: A Renewed Look.” </w:t>
      </w:r>
      <w:r w:rsidRPr="00FC3EA2">
        <w:rPr>
          <w:i/>
          <w:iCs/>
        </w:rPr>
        <w:t>Journal For the Study of The Old Testament</w:t>
      </w:r>
      <w:r w:rsidRPr="00FC3EA2">
        <w:t>, Vol 41.1 (2016): 4</w:t>
      </w:r>
      <w:r>
        <w:t>3</w:t>
      </w:r>
      <w:r w:rsidRPr="00FC3EA2">
        <w:t>.</w:t>
      </w:r>
    </w:p>
  </w:footnote>
  <w:footnote w:id="9">
    <w:p w14:paraId="51351AAD" w14:textId="6BB24FE5" w:rsidR="004A7597" w:rsidRDefault="004A7597" w:rsidP="004A7597">
      <w:pPr>
        <w:pStyle w:val="FootnoteText"/>
      </w:pPr>
      <w:r>
        <w:rPr>
          <w:rStyle w:val="FootnoteReference"/>
        </w:rPr>
        <w:footnoteRef/>
      </w:r>
      <w:r>
        <w:t xml:space="preserve"> </w:t>
      </w:r>
      <w:r w:rsidRPr="00636EE7">
        <w:t>Amos</w:t>
      </w:r>
      <w:r>
        <w:t>,</w:t>
      </w:r>
      <w:r w:rsidRPr="00636EE7">
        <w:t xml:space="preserve"> </w:t>
      </w:r>
      <w:r w:rsidRPr="00636EE7">
        <w:rPr>
          <w:i/>
          <w:iCs/>
        </w:rPr>
        <w:t>Joshua, Judges, Ruth</w:t>
      </w:r>
      <w:r>
        <w:t>., 457.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44820"/>
    <w:multiLevelType w:val="hybridMultilevel"/>
    <w:tmpl w:val="2BF014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108B0"/>
    <w:rsid w:val="000447AF"/>
    <w:rsid w:val="00045F7B"/>
    <w:rsid w:val="0006299D"/>
    <w:rsid w:val="0008569C"/>
    <w:rsid w:val="00090CF1"/>
    <w:rsid w:val="000A1664"/>
    <w:rsid w:val="000B1EDA"/>
    <w:rsid w:val="000B46F0"/>
    <w:rsid w:val="000C2FB6"/>
    <w:rsid w:val="000D41A4"/>
    <w:rsid w:val="000E6190"/>
    <w:rsid w:val="00106286"/>
    <w:rsid w:val="00114B0E"/>
    <w:rsid w:val="00121953"/>
    <w:rsid w:val="00134BCC"/>
    <w:rsid w:val="00137938"/>
    <w:rsid w:val="00141902"/>
    <w:rsid w:val="001517D4"/>
    <w:rsid w:val="00155F02"/>
    <w:rsid w:val="001631D2"/>
    <w:rsid w:val="00170B6A"/>
    <w:rsid w:val="00174C31"/>
    <w:rsid w:val="001918B7"/>
    <w:rsid w:val="001A616E"/>
    <w:rsid w:val="001B35F3"/>
    <w:rsid w:val="001F585E"/>
    <w:rsid w:val="0021064F"/>
    <w:rsid w:val="002401B1"/>
    <w:rsid w:val="00242822"/>
    <w:rsid w:val="002555F0"/>
    <w:rsid w:val="002563A6"/>
    <w:rsid w:val="00282FF6"/>
    <w:rsid w:val="00283562"/>
    <w:rsid w:val="002A6EBA"/>
    <w:rsid w:val="002B7C8F"/>
    <w:rsid w:val="002E1FCB"/>
    <w:rsid w:val="0030455F"/>
    <w:rsid w:val="00312FD9"/>
    <w:rsid w:val="003134DA"/>
    <w:rsid w:val="0031579C"/>
    <w:rsid w:val="00332E7E"/>
    <w:rsid w:val="00344625"/>
    <w:rsid w:val="00350B9C"/>
    <w:rsid w:val="00361CAF"/>
    <w:rsid w:val="0036554E"/>
    <w:rsid w:val="003775FD"/>
    <w:rsid w:val="00383101"/>
    <w:rsid w:val="00397061"/>
    <w:rsid w:val="003971DD"/>
    <w:rsid w:val="003C0A92"/>
    <w:rsid w:val="003C0EC6"/>
    <w:rsid w:val="003C409F"/>
    <w:rsid w:val="003E61CA"/>
    <w:rsid w:val="003E7560"/>
    <w:rsid w:val="003F6E92"/>
    <w:rsid w:val="00400C96"/>
    <w:rsid w:val="00404BF1"/>
    <w:rsid w:val="00432FB1"/>
    <w:rsid w:val="004676DD"/>
    <w:rsid w:val="00484ECF"/>
    <w:rsid w:val="004A2B84"/>
    <w:rsid w:val="004A7597"/>
    <w:rsid w:val="00500EFC"/>
    <w:rsid w:val="00504BD8"/>
    <w:rsid w:val="00542832"/>
    <w:rsid w:val="005449C8"/>
    <w:rsid w:val="0054781D"/>
    <w:rsid w:val="00550A69"/>
    <w:rsid w:val="005515FB"/>
    <w:rsid w:val="0056155C"/>
    <w:rsid w:val="00591475"/>
    <w:rsid w:val="005B1F13"/>
    <w:rsid w:val="005E7F5F"/>
    <w:rsid w:val="00600CAE"/>
    <w:rsid w:val="00604D19"/>
    <w:rsid w:val="00636EE7"/>
    <w:rsid w:val="00656585"/>
    <w:rsid w:val="00684DC2"/>
    <w:rsid w:val="006876D2"/>
    <w:rsid w:val="00690AD8"/>
    <w:rsid w:val="006B2405"/>
    <w:rsid w:val="006B3547"/>
    <w:rsid w:val="007215D2"/>
    <w:rsid w:val="007517B8"/>
    <w:rsid w:val="007705BC"/>
    <w:rsid w:val="00775360"/>
    <w:rsid w:val="00777A48"/>
    <w:rsid w:val="00793A09"/>
    <w:rsid w:val="007E52F0"/>
    <w:rsid w:val="007E71EC"/>
    <w:rsid w:val="007F3C22"/>
    <w:rsid w:val="007F788B"/>
    <w:rsid w:val="008038B4"/>
    <w:rsid w:val="00805553"/>
    <w:rsid w:val="00810CAB"/>
    <w:rsid w:val="00823597"/>
    <w:rsid w:val="00827CF6"/>
    <w:rsid w:val="0083199A"/>
    <w:rsid w:val="00846716"/>
    <w:rsid w:val="00861DD8"/>
    <w:rsid w:val="008675C0"/>
    <w:rsid w:val="00890311"/>
    <w:rsid w:val="008D6E51"/>
    <w:rsid w:val="008E5BBF"/>
    <w:rsid w:val="00910661"/>
    <w:rsid w:val="009131E7"/>
    <w:rsid w:val="00920EDC"/>
    <w:rsid w:val="0093103D"/>
    <w:rsid w:val="00934FC4"/>
    <w:rsid w:val="009638FF"/>
    <w:rsid w:val="00965A4C"/>
    <w:rsid w:val="009959F5"/>
    <w:rsid w:val="009A2C33"/>
    <w:rsid w:val="009A38BD"/>
    <w:rsid w:val="009C136E"/>
    <w:rsid w:val="009C2289"/>
    <w:rsid w:val="009E46B4"/>
    <w:rsid w:val="00A06E1A"/>
    <w:rsid w:val="00A07CBC"/>
    <w:rsid w:val="00A26283"/>
    <w:rsid w:val="00A36B5C"/>
    <w:rsid w:val="00A43B4D"/>
    <w:rsid w:val="00A53427"/>
    <w:rsid w:val="00A70889"/>
    <w:rsid w:val="00A70E15"/>
    <w:rsid w:val="00A752F0"/>
    <w:rsid w:val="00AB05C0"/>
    <w:rsid w:val="00AD1015"/>
    <w:rsid w:val="00AE1A54"/>
    <w:rsid w:val="00AE1E2E"/>
    <w:rsid w:val="00AF2090"/>
    <w:rsid w:val="00AF315F"/>
    <w:rsid w:val="00AF3CDD"/>
    <w:rsid w:val="00B11AC0"/>
    <w:rsid w:val="00B12D3D"/>
    <w:rsid w:val="00B141BE"/>
    <w:rsid w:val="00B16F57"/>
    <w:rsid w:val="00B216BD"/>
    <w:rsid w:val="00B334E6"/>
    <w:rsid w:val="00B34C91"/>
    <w:rsid w:val="00B377B0"/>
    <w:rsid w:val="00B50A25"/>
    <w:rsid w:val="00B92FEC"/>
    <w:rsid w:val="00BB06A1"/>
    <w:rsid w:val="00BC26E8"/>
    <w:rsid w:val="00BC365C"/>
    <w:rsid w:val="00BF09C1"/>
    <w:rsid w:val="00BF1072"/>
    <w:rsid w:val="00BF6365"/>
    <w:rsid w:val="00BF7136"/>
    <w:rsid w:val="00C05C7F"/>
    <w:rsid w:val="00C05F96"/>
    <w:rsid w:val="00C46467"/>
    <w:rsid w:val="00C6173E"/>
    <w:rsid w:val="00C70A4A"/>
    <w:rsid w:val="00C7456A"/>
    <w:rsid w:val="00C75AB6"/>
    <w:rsid w:val="00CC135A"/>
    <w:rsid w:val="00CE19FA"/>
    <w:rsid w:val="00CE489C"/>
    <w:rsid w:val="00D02285"/>
    <w:rsid w:val="00D072C2"/>
    <w:rsid w:val="00D17405"/>
    <w:rsid w:val="00D508D7"/>
    <w:rsid w:val="00D63C40"/>
    <w:rsid w:val="00D850DE"/>
    <w:rsid w:val="00D97A09"/>
    <w:rsid w:val="00DB45AF"/>
    <w:rsid w:val="00DB71C0"/>
    <w:rsid w:val="00DD0D8B"/>
    <w:rsid w:val="00DD1BC9"/>
    <w:rsid w:val="00DD7DF3"/>
    <w:rsid w:val="00DE18CF"/>
    <w:rsid w:val="00DE5146"/>
    <w:rsid w:val="00DF7AA0"/>
    <w:rsid w:val="00E02690"/>
    <w:rsid w:val="00E14FD2"/>
    <w:rsid w:val="00E25E34"/>
    <w:rsid w:val="00E33F9B"/>
    <w:rsid w:val="00E34F3B"/>
    <w:rsid w:val="00E64F5F"/>
    <w:rsid w:val="00E6776E"/>
    <w:rsid w:val="00E7169B"/>
    <w:rsid w:val="00E721B9"/>
    <w:rsid w:val="00ED04CE"/>
    <w:rsid w:val="00ED27B4"/>
    <w:rsid w:val="00EE1DC6"/>
    <w:rsid w:val="00EF6624"/>
    <w:rsid w:val="00F04D51"/>
    <w:rsid w:val="00F228DC"/>
    <w:rsid w:val="00F2626D"/>
    <w:rsid w:val="00F630B3"/>
    <w:rsid w:val="00F8465E"/>
    <w:rsid w:val="00F94E20"/>
    <w:rsid w:val="00F96131"/>
    <w:rsid w:val="00FA1529"/>
    <w:rsid w:val="00FB6365"/>
    <w:rsid w:val="00FC170E"/>
    <w:rsid w:val="00FC3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721B9"/>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E721B9"/>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1B9"/>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E721B9"/>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customStyle="1" w:styleId="text">
    <w:name w:val="text"/>
    <w:basedOn w:val="DefaultParagraphFont"/>
    <w:rsid w:val="00591475"/>
  </w:style>
  <w:style w:type="character" w:customStyle="1" w:styleId="authors">
    <w:name w:val="authors"/>
    <w:basedOn w:val="DefaultParagraphFont"/>
    <w:rsid w:val="00542832"/>
  </w:style>
  <w:style w:type="character" w:customStyle="1" w:styleId="date">
    <w:name w:val="date"/>
    <w:basedOn w:val="DefaultParagraphFont"/>
    <w:rsid w:val="00542832"/>
  </w:style>
  <w:style w:type="character" w:customStyle="1" w:styleId="arttitle">
    <w:name w:val="art_title"/>
    <w:basedOn w:val="DefaultParagraphFont"/>
    <w:rsid w:val="00542832"/>
  </w:style>
  <w:style w:type="character" w:customStyle="1" w:styleId="serialtitle">
    <w:name w:val="serial_title"/>
    <w:basedOn w:val="DefaultParagraphFont"/>
    <w:rsid w:val="00542832"/>
  </w:style>
  <w:style w:type="character" w:customStyle="1" w:styleId="volumeissue">
    <w:name w:val="volume_issue"/>
    <w:basedOn w:val="DefaultParagraphFont"/>
    <w:rsid w:val="00542832"/>
  </w:style>
  <w:style w:type="character" w:customStyle="1" w:styleId="pagerange">
    <w:name w:val="page_range"/>
    <w:basedOn w:val="DefaultParagraphFont"/>
    <w:rsid w:val="00542832"/>
  </w:style>
  <w:style w:type="character" w:customStyle="1" w:styleId="doilink">
    <w:name w:val="doi_link"/>
    <w:basedOn w:val="DefaultParagraphFont"/>
    <w:rsid w:val="00542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070158175">
      <w:bodyDiv w:val="1"/>
      <w:marLeft w:val="0"/>
      <w:marRight w:val="0"/>
      <w:marTop w:val="0"/>
      <w:marBottom w:val="0"/>
      <w:divBdr>
        <w:top w:val="none" w:sz="0" w:space="0" w:color="auto"/>
        <w:left w:val="none" w:sz="0" w:space="0" w:color="auto"/>
        <w:bottom w:val="none" w:sz="0" w:space="0" w:color="auto"/>
        <w:right w:val="none" w:sz="0" w:space="0" w:color="auto"/>
      </w:divBdr>
    </w:div>
    <w:div w:id="1144851063">
      <w:bodyDiv w:val="1"/>
      <w:marLeft w:val="0"/>
      <w:marRight w:val="0"/>
      <w:marTop w:val="0"/>
      <w:marBottom w:val="0"/>
      <w:divBdr>
        <w:top w:val="none" w:sz="0" w:space="0" w:color="auto"/>
        <w:left w:val="none" w:sz="0" w:space="0" w:color="auto"/>
        <w:bottom w:val="none" w:sz="0" w:space="0" w:color="auto"/>
        <w:right w:val="none" w:sz="0" w:space="0" w:color="auto"/>
      </w:divBdr>
    </w:div>
    <w:div w:id="1620144999">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68788470">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0594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6</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2021-07-25T16:57:00Z</dcterms:created>
  <dcterms:modified xsi:type="dcterms:W3CDTF">2021-07-26T01:23:00Z</dcterms:modified>
</cp:coreProperties>
</file>