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8BF84" w14:textId="77777777" w:rsidR="003B0642" w:rsidRDefault="003B0642" w:rsidP="003B0642">
      <w:pPr>
        <w:pStyle w:val="NormalWeb"/>
        <w:spacing w:before="0" w:beforeAutospacing="0" w:after="0" w:afterAutospacing="0"/>
        <w:rPr>
          <w:color w:val="0E101A"/>
        </w:rPr>
      </w:pPr>
      <w:r>
        <w:rPr>
          <w:color w:val="0E101A"/>
        </w:rPr>
        <w:t>Stephen Anderson,</w:t>
      </w:r>
    </w:p>
    <w:p w14:paraId="38280578" w14:textId="68B2CF1F" w:rsidR="003B0642" w:rsidRDefault="003B0642" w:rsidP="003B0642">
      <w:pPr>
        <w:pStyle w:val="NormalWeb"/>
        <w:spacing w:before="0" w:beforeAutospacing="0" w:after="0" w:afterAutospacing="0"/>
        <w:rPr>
          <w:color w:val="0E101A"/>
        </w:rPr>
      </w:pPr>
      <w:r>
        <w:rPr>
          <w:color w:val="0E101A"/>
        </w:rPr>
        <w:t>I enjoyed reading your post this week. I greatly admire the balance you have brought to the subject, moreover the relationship between the Old and New Testament, the law and grace. I could not have said it better. As you say, “There is a clear line connecting the old law and the new that such that it is impossible to appreciate the full benefit of the new without understanding the old.” Interestingly, your assertions relate well to Paul’s writings. Writing to the saints in Rome, he says, “Nevertheless, I would not have known what sin was, had it not been for the law. For I would not have known what coveting really was if the law had not said, “You shall not covet” (Rom 7:7, NIV).</w:t>
      </w:r>
      <w:r>
        <w:rPr>
          <w:rStyle w:val="FootnoteReference"/>
          <w:rFonts w:ascii="Roboto" w:hAnsi="Roboto"/>
          <w:color w:val="222222"/>
          <w:shd w:val="clear" w:color="auto" w:fill="FFFFFF"/>
        </w:rPr>
        <w:footnoteReference w:id="1"/>
      </w:r>
      <w:r>
        <w:rPr>
          <w:color w:val="0E101A"/>
        </w:rPr>
        <w:t> Here Paul is showing the prerequisite of grace which is the law. He needed the law to make him conscious of his sins and the grace of God to deliver him from his sins. Thus, to use the analogy of the coin, the grace of God is one side of the coin, and the law is the other side of the coin. One cannot understand how grace works unless one knows how the law works. As indicated before, the law shows us how inadequate and incapable we are amidst the realities of sin. The grace of God, on the other hand, shows us that in Christ we have been enabled to overcome sin. I suppose that this is what Paul had in mind when writing to Titus:</w:t>
      </w:r>
      <w:r>
        <w:rPr>
          <w:rStyle w:val="Strong"/>
          <w:color w:val="0E101A"/>
        </w:rPr>
        <w:t> </w:t>
      </w:r>
      <w:r>
        <w:rPr>
          <w:color w:val="0E101A"/>
        </w:rPr>
        <w:t>For the grace of God has appeared that offers salvation to all people. It teaches us to say “No” to ungodliness and worldly passions, and to live self-controlled, upright, and godly lives in this present age (Titus 2:11-12). This grace is also sufficient in our weaknesses (2 Cor 12:9). Victor Hamilton avers, “The divine standards are not placed in a vacuum but are set against the bountiful resources of a gracious God.</w:t>
      </w:r>
      <w:r>
        <w:rPr>
          <w:rStyle w:val="FootnoteReference"/>
          <w:rFonts w:ascii="Segoe UI" w:hAnsi="Segoe UI" w:cs="Segoe UI"/>
          <w:color w:val="000000"/>
          <w:shd w:val="clear" w:color="auto" w:fill="FFFFFF"/>
        </w:rPr>
        <w:footnoteReference w:id="2"/>
      </w:r>
    </w:p>
    <w:p w14:paraId="037084CB" w14:textId="77777777" w:rsidR="003B0642" w:rsidRDefault="003B0642"/>
    <w:p w14:paraId="0F2FA1A3" w14:textId="77777777" w:rsidR="00370169" w:rsidRPr="008522D2" w:rsidRDefault="00370169" w:rsidP="00370169">
      <w:pPr>
        <w:rPr>
          <w:rFonts w:ascii="Times New Roman" w:hAnsi="Times New Roman" w:cs="Times New Roman"/>
          <w:b/>
          <w:bCs/>
          <w:sz w:val="24"/>
          <w:szCs w:val="24"/>
        </w:rPr>
      </w:pPr>
      <w:r w:rsidRPr="008522D2">
        <w:rPr>
          <w:rFonts w:ascii="Times New Roman" w:hAnsi="Times New Roman" w:cs="Times New Roman"/>
          <w:b/>
          <w:bCs/>
          <w:sz w:val="24"/>
          <w:szCs w:val="24"/>
        </w:rPr>
        <w:t>Bibliography</w:t>
      </w:r>
    </w:p>
    <w:p w14:paraId="31589E97" w14:textId="77777777" w:rsidR="00370169" w:rsidRPr="008522D2" w:rsidRDefault="00370169" w:rsidP="00370169">
      <w:pPr>
        <w:ind w:left="720" w:hanging="720"/>
        <w:rPr>
          <w:rFonts w:ascii="Times New Roman" w:hAnsi="Times New Roman" w:cs="Times New Roman"/>
          <w:sz w:val="24"/>
          <w:szCs w:val="24"/>
        </w:rPr>
      </w:pPr>
      <w:r w:rsidRPr="008522D2">
        <w:rPr>
          <w:rFonts w:ascii="Times New Roman" w:hAnsi="Times New Roman" w:cs="Times New Roman"/>
          <w:sz w:val="24"/>
          <w:szCs w:val="24"/>
        </w:rPr>
        <w:t xml:space="preserve">Hamilton, Victor P. </w:t>
      </w:r>
      <w:r w:rsidRPr="008522D2">
        <w:rPr>
          <w:rFonts w:ascii="Times New Roman" w:hAnsi="Times New Roman" w:cs="Times New Roman"/>
          <w:i/>
          <w:iCs/>
          <w:sz w:val="24"/>
          <w:szCs w:val="24"/>
        </w:rPr>
        <w:t>Handbook on the Historical Books.</w:t>
      </w:r>
      <w:r w:rsidRPr="008522D2">
        <w:rPr>
          <w:rFonts w:ascii="Times New Roman" w:hAnsi="Times New Roman" w:cs="Times New Roman"/>
          <w:sz w:val="24"/>
          <w:szCs w:val="24"/>
        </w:rPr>
        <w:t xml:space="preserve"> Grand Rapids, MI: Baker Publishing, 2019.</w:t>
      </w:r>
    </w:p>
    <w:p w14:paraId="2FC8DF6C" w14:textId="77777777" w:rsidR="00370169" w:rsidRPr="006900FB" w:rsidRDefault="00370169" w:rsidP="00370169">
      <w:pPr>
        <w:rPr>
          <w:rFonts w:ascii="Times New Roman" w:hAnsi="Times New Roman" w:cs="Times New Roman"/>
          <w:sz w:val="24"/>
          <w:szCs w:val="24"/>
        </w:rPr>
      </w:pPr>
    </w:p>
    <w:p w14:paraId="0A421067" w14:textId="77777777" w:rsidR="00370169" w:rsidRDefault="00370169"/>
    <w:sectPr w:rsidR="003701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CD5A1" w14:textId="77777777" w:rsidR="00CF04BF" w:rsidRDefault="00CF04BF" w:rsidP="00E540AC">
      <w:pPr>
        <w:spacing w:after="0" w:line="240" w:lineRule="auto"/>
      </w:pPr>
      <w:r>
        <w:separator/>
      </w:r>
    </w:p>
  </w:endnote>
  <w:endnote w:type="continuationSeparator" w:id="0">
    <w:p w14:paraId="1FBEBDB6" w14:textId="77777777" w:rsidR="00CF04BF" w:rsidRDefault="00CF04BF" w:rsidP="00E54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07A3F" w14:textId="77777777" w:rsidR="00CF04BF" w:rsidRDefault="00CF04BF" w:rsidP="00E540AC">
      <w:pPr>
        <w:spacing w:after="0" w:line="240" w:lineRule="auto"/>
      </w:pPr>
      <w:r>
        <w:separator/>
      </w:r>
    </w:p>
  </w:footnote>
  <w:footnote w:type="continuationSeparator" w:id="0">
    <w:p w14:paraId="6D8EE0DC" w14:textId="77777777" w:rsidR="00CF04BF" w:rsidRDefault="00CF04BF" w:rsidP="00E540AC">
      <w:pPr>
        <w:spacing w:after="0" w:line="240" w:lineRule="auto"/>
      </w:pPr>
      <w:r>
        <w:continuationSeparator/>
      </w:r>
    </w:p>
  </w:footnote>
  <w:footnote w:id="1">
    <w:p w14:paraId="0E9800B6" w14:textId="77777777" w:rsidR="003B0642" w:rsidRDefault="003B0642" w:rsidP="003B0642">
      <w:pPr>
        <w:pStyle w:val="FootnoteText"/>
      </w:pPr>
      <w:r>
        <w:rPr>
          <w:rStyle w:val="FootnoteReference"/>
        </w:rPr>
        <w:footnoteRef/>
      </w:r>
      <w:r>
        <w:t xml:space="preserve"> </w:t>
      </w:r>
      <w:r w:rsidRPr="005C242E">
        <w:rPr>
          <w:rFonts w:ascii="Times New Roman" w:hAnsi="Times New Roman" w:cs="Times New Roman"/>
        </w:rPr>
        <w:t xml:space="preserve">Unless otherwise noted, all biblical passages referenced are in the </w:t>
      </w:r>
      <w:r w:rsidRPr="005C242E">
        <w:rPr>
          <w:rFonts w:ascii="Times New Roman" w:hAnsi="Times New Roman" w:cs="Times New Roman"/>
          <w:i/>
          <w:iCs/>
        </w:rPr>
        <w:t>New International Version</w:t>
      </w:r>
      <w:r w:rsidRPr="005C242E">
        <w:rPr>
          <w:rFonts w:ascii="Times New Roman" w:hAnsi="Times New Roman" w:cs="Times New Roman"/>
        </w:rPr>
        <w:t xml:space="preserve"> (Grand Rapids, MI: Zondervan, 2011).</w:t>
      </w:r>
    </w:p>
  </w:footnote>
  <w:footnote w:id="2">
    <w:p w14:paraId="4F68FC5F" w14:textId="77777777" w:rsidR="003B0642" w:rsidRDefault="003B0642" w:rsidP="003B0642">
      <w:pPr>
        <w:pStyle w:val="FootnoteText"/>
      </w:pPr>
      <w:r>
        <w:rPr>
          <w:rStyle w:val="FootnoteReference"/>
        </w:rPr>
        <w:footnoteRef/>
      </w:r>
      <w:r>
        <w:t xml:space="preserve"> </w:t>
      </w:r>
      <w:r w:rsidRPr="00FE3CA9">
        <w:t>Victor P.</w:t>
      </w:r>
      <w:r>
        <w:t xml:space="preserve"> </w:t>
      </w:r>
      <w:r w:rsidRPr="00FE3CA9">
        <w:t xml:space="preserve">Hamilton, </w:t>
      </w:r>
      <w:r w:rsidRPr="00DF6F1D">
        <w:rPr>
          <w:i/>
          <w:iCs/>
        </w:rPr>
        <w:t>Handbook on the Pentateuch: Genesis, Exodus, Leviticus, Numbers, Deuteronomy</w:t>
      </w:r>
      <w:r w:rsidRPr="00765A80">
        <w:t xml:space="preserve">, 2nd Edition </w:t>
      </w:r>
      <w:r>
        <w:t>(</w:t>
      </w:r>
      <w:r w:rsidRPr="00FE3CA9">
        <w:t>Grand Rapids, MI: Baker Publishing</w:t>
      </w:r>
      <w:r>
        <w:t>, 2019), 402.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69"/>
    <w:rsid w:val="00370169"/>
    <w:rsid w:val="003B0642"/>
    <w:rsid w:val="006A4A1F"/>
    <w:rsid w:val="00960237"/>
    <w:rsid w:val="00CF04BF"/>
    <w:rsid w:val="00E5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51E99"/>
  <w15:chartTrackingRefBased/>
  <w15:docId w15:val="{C048EEFA-E060-4E05-9792-A0F5E124B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E540AC"/>
  </w:style>
  <w:style w:type="paragraph" w:styleId="FootnoteText">
    <w:name w:val="footnote text"/>
    <w:basedOn w:val="Normal"/>
    <w:link w:val="FootnoteTextChar"/>
    <w:uiPriority w:val="99"/>
    <w:semiHidden/>
    <w:unhideWhenUsed/>
    <w:rsid w:val="00E540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40AC"/>
    <w:rPr>
      <w:sz w:val="20"/>
      <w:szCs w:val="20"/>
    </w:rPr>
  </w:style>
  <w:style w:type="character" w:styleId="FootnoteReference">
    <w:name w:val="footnote reference"/>
    <w:basedOn w:val="DefaultParagraphFont"/>
    <w:uiPriority w:val="99"/>
    <w:semiHidden/>
    <w:unhideWhenUsed/>
    <w:rsid w:val="00E540AC"/>
    <w:rPr>
      <w:vertAlign w:val="superscript"/>
    </w:rPr>
  </w:style>
  <w:style w:type="paragraph" w:styleId="NormalWeb">
    <w:name w:val="Normal (Web)"/>
    <w:basedOn w:val="Normal"/>
    <w:uiPriority w:val="99"/>
    <w:semiHidden/>
    <w:unhideWhenUsed/>
    <w:rsid w:val="003B06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0642"/>
    <w:rPr>
      <w:color w:val="0000FF"/>
      <w:u w:val="single"/>
    </w:rPr>
  </w:style>
  <w:style w:type="character" w:styleId="Strong">
    <w:name w:val="Strong"/>
    <w:basedOn w:val="DefaultParagraphFont"/>
    <w:uiPriority w:val="22"/>
    <w:qFormat/>
    <w:rsid w:val="003B0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7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4EC9C96-ED63-476D-9AAD-9E554CC9B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2021-07-19T00:35:00Z</dcterms:created>
  <dcterms:modified xsi:type="dcterms:W3CDTF">2021-07-19T01:14:00Z</dcterms:modified>
</cp:coreProperties>
</file>