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3C46C" w14:textId="77777777" w:rsidR="009B50D3" w:rsidRDefault="009B50D3" w:rsidP="009B50D3">
      <w:pPr>
        <w:pStyle w:val="NormalWeb"/>
        <w:spacing w:before="240" w:beforeAutospacing="0" w:after="0" w:afterAutospacing="0"/>
        <w:rPr>
          <w:color w:val="0E101A"/>
        </w:rPr>
      </w:pPr>
      <w:r>
        <w:rPr>
          <w:color w:val="0E101A"/>
        </w:rPr>
        <w:t>Genesis 1-11 describes the founding of the human race, leading up to God’s covenant with Abraham. A close reading of Genesis 1-11 text and the course material indicates that the creation account is a historical phenomenon-a true account and narration of events that happened. Thus, a person reading Genesis 1-11 should read it as a historical text.</w:t>
      </w:r>
    </w:p>
    <w:p w14:paraId="1BFB2D4D" w14:textId="1414EE09" w:rsidR="009B50D3" w:rsidRDefault="009B50D3" w:rsidP="009B50D3">
      <w:pPr>
        <w:pStyle w:val="NormalWeb"/>
        <w:spacing w:before="240" w:beforeAutospacing="0" w:after="0" w:afterAutospacing="0"/>
        <w:rPr>
          <w:color w:val="0E101A"/>
        </w:rPr>
      </w:pPr>
      <w:r>
        <w:rPr>
          <w:color w:val="0E101A"/>
        </w:rPr>
        <w:t>In reading it as a historical narrative, the impact on hermeneutics is that a person would have to negotiate the distance between now and then to understand what the author intended to say. In other words, they must get out of their frame of time and be willing to put on those of the Genesis 1-11 era. In saying this, a potential problem arises. Perhaps someone could ask, how was the author able to write about a historical event when in reality he was not in existence when it took place. There are two possible ways to look at it. The first one (which is the easiest) is that God inspired the author of Genesis. On inspiration, Todd Miles writes,</w:t>
      </w:r>
    </w:p>
    <w:p w14:paraId="0E05B04D" w14:textId="00D60172" w:rsidR="009B50D3" w:rsidRDefault="009B50D3" w:rsidP="009B50D3">
      <w:pPr>
        <w:pStyle w:val="NormalWeb"/>
        <w:spacing w:before="240" w:beforeAutospacing="0" w:after="0" w:afterAutospacing="0"/>
        <w:rPr>
          <w:color w:val="0E101A"/>
        </w:rPr>
      </w:pPr>
      <w:r>
        <w:rPr>
          <w:color w:val="0E101A"/>
        </w:rPr>
        <w:t>All Scripture, every word, is inspired by God. Inspiration is that concurrent work of a human author and the Holy Spirit whereby the Spirit so moved the author that the result was exactly what God wanted, down to the very word, without destroying the personality of the human author in the process (2 Tim 3:16–17; 2 Pet 1:20–21).</w:t>
      </w:r>
      <w:r w:rsidRPr="008522D2">
        <w:rPr>
          <w:rStyle w:val="FootnoteReference"/>
        </w:rPr>
        <w:footnoteReference w:id="1"/>
      </w:r>
      <w:r>
        <w:rPr>
          <w:color w:val="0E101A"/>
        </w:rPr>
        <w:t> The result is a text that is simultaneously divine and human where the human authors used their own distinctive styles to produce this divine-human text. The implications of the divine aspect of inspiration include the inerrancy of Scripture and its inherent authority.</w:t>
      </w:r>
      <w:r w:rsidRPr="008522D2">
        <w:rPr>
          <w:rStyle w:val="FootnoteReference"/>
        </w:rPr>
        <w:footnoteReference w:id="2"/>
      </w:r>
    </w:p>
    <w:p w14:paraId="0B493ED6" w14:textId="77777777" w:rsidR="009B50D3" w:rsidRDefault="009B50D3" w:rsidP="009B50D3">
      <w:pPr>
        <w:pStyle w:val="NormalWeb"/>
        <w:spacing w:before="240" w:beforeAutospacing="0" w:after="0" w:afterAutospacing="0"/>
        <w:rPr>
          <w:color w:val="0E101A"/>
        </w:rPr>
      </w:pPr>
      <w:r>
        <w:rPr>
          <w:color w:val="0E101A"/>
        </w:rPr>
        <w:t>The other way to reconcile the problem of the author writing on events that supposedly were past him is to take into account the oral tradition of the Hebrew people. Though Moses, who is perceived to have written Genesis, was not there when the creation happened, there is a mild chance that stories of how humans came to be might have been passed down to him by his predecessors. That said, we should be careful in suggesting so that no one thinks of the Genesis account as a myth.</w:t>
      </w:r>
    </w:p>
    <w:p w14:paraId="13FC4873" w14:textId="77777777" w:rsidR="009B50D3" w:rsidRDefault="009B50D3" w:rsidP="009B50D3">
      <w:pPr>
        <w:pStyle w:val="NormalWeb"/>
        <w:spacing w:before="240" w:beforeAutospacing="0" w:after="0" w:afterAutospacing="0"/>
        <w:rPr>
          <w:color w:val="0E101A"/>
        </w:rPr>
      </w:pPr>
      <w:r>
        <w:rPr>
          <w:color w:val="0E101A"/>
        </w:rPr>
        <w:t>The theology of Genesis 1 – 11 is influenced by the interpretive approach that we take to the text. For some, the interpretive approach they take is reading into the text. Scholars call this eisegesis. For example, many people have said that the fruit that Adam ate was not merely a fruit. Some have said, they had sex. Others have argued that the fruit was figurative. NO matter how they try to explain it, they are committing an eisegesis. Still, others take the exegesis approach in which they draw out from the scriptures. The scriptures inform their theology. That said, I suppose that the literal interpretation of scriptures influences the theology of Genesis 1-11 more than other approaches. </w:t>
      </w:r>
    </w:p>
    <w:p w14:paraId="507419CD" w14:textId="4479EA0E" w:rsidR="009B50D3" w:rsidRDefault="009B50D3" w:rsidP="009B50D3">
      <w:pPr>
        <w:pStyle w:val="NormalWeb"/>
        <w:spacing w:before="240" w:beforeAutospacing="0" w:after="0" w:afterAutospacing="0"/>
        <w:rPr>
          <w:color w:val="0E101A"/>
        </w:rPr>
      </w:pPr>
      <w:r>
        <w:rPr>
          <w:color w:val="0E101A"/>
        </w:rPr>
        <w:t xml:space="preserve">My view on Adam and Eve is that they are historical figures. Adam and Eve were created in the image and likeness of God. Genesis 3:8 denotes how God enjoyed sweet fellowship with them. Nonetheless, when they sinned, they found themselves alienated from God. All of a sudden, their warm and cordial relationship with God diminished. No longer could they stay in the presence of God. God had banished them so that they would not eat again from the tree of life to live forever </w:t>
      </w:r>
      <w:r>
        <w:rPr>
          <w:color w:val="0E101A"/>
        </w:rPr>
        <w:lastRenderedPageBreak/>
        <w:t>in their state of corruption. The study of the impact of their sin is today commonly referred to as the doctrine of original sin. The fall of Adam and Eve shows when, why, when, how, and by whom sin entered the world. According to Victor P Hamilton, “Both the Old and New Testaments affirm the doctrine (Gen. 6:5; 1 Kings 8:46; Ps. 51:5; Rom. 5:19; Eph. 2:3), but they do not explain it in terms of theological origins.”</w:t>
      </w:r>
      <w:r w:rsidRPr="008522D2">
        <w:rPr>
          <w:rStyle w:val="FootnoteReference"/>
        </w:rPr>
        <w:footnoteReference w:id="3"/>
      </w:r>
      <w:r>
        <w:rPr>
          <w:color w:val="0E101A"/>
        </w:rPr>
        <w:t> That said, the historicity of Adam and Eve is so critical that without affirming it, the redemptive miracle that God initiated through the person of Jesus Christ would not come into play. Christ came to undo what his predecessors Adam and Eve had subjected humanity to. Paul argues that "as in Adam all die, so in Christ, all will be made alive(1Cor15:22). Further, he posits, “The Scriptures tell us, “The first man, Adam, became a living person.” But the last Adam—that is, Christ—is a life-giving Spirit” (1 Cor 15:45, NLT). In a nutshell, the historicity of Adam and Eve allows us to experience God’s grace. We can look back to history and see God’s majestic redemption plan and praise God for having been so gracious to us to deliver us from eternal damnation.</w:t>
      </w:r>
    </w:p>
    <w:p w14:paraId="1D539C47" w14:textId="77777777" w:rsidR="009B50D3" w:rsidRDefault="009B50D3">
      <w:pPr>
        <w:rPr>
          <w:rFonts w:ascii="Times New Roman" w:hAnsi="Times New Roman" w:cs="Times New Roman"/>
          <w:sz w:val="24"/>
          <w:szCs w:val="24"/>
        </w:rPr>
      </w:pPr>
    </w:p>
    <w:p w14:paraId="709A7496" w14:textId="0F7E93B6" w:rsidR="0005134C" w:rsidRPr="008522D2" w:rsidRDefault="0005134C">
      <w:pPr>
        <w:rPr>
          <w:rFonts w:ascii="Times New Roman" w:hAnsi="Times New Roman" w:cs="Times New Roman"/>
          <w:b/>
          <w:bCs/>
          <w:sz w:val="24"/>
          <w:szCs w:val="24"/>
        </w:rPr>
      </w:pPr>
      <w:r w:rsidRPr="008522D2">
        <w:rPr>
          <w:rFonts w:ascii="Times New Roman" w:hAnsi="Times New Roman" w:cs="Times New Roman"/>
          <w:b/>
          <w:bCs/>
          <w:sz w:val="24"/>
          <w:szCs w:val="24"/>
        </w:rPr>
        <w:t>Bibliography</w:t>
      </w:r>
    </w:p>
    <w:p w14:paraId="6DE2EC0F" w14:textId="77777777" w:rsidR="008522D2" w:rsidRPr="008522D2" w:rsidRDefault="008522D2" w:rsidP="008522D2">
      <w:pPr>
        <w:ind w:left="720" w:hanging="720"/>
        <w:rPr>
          <w:rFonts w:ascii="Times New Roman" w:hAnsi="Times New Roman" w:cs="Times New Roman"/>
          <w:sz w:val="24"/>
          <w:szCs w:val="24"/>
        </w:rPr>
      </w:pPr>
      <w:r w:rsidRPr="008522D2">
        <w:rPr>
          <w:rFonts w:ascii="Times New Roman" w:hAnsi="Times New Roman" w:cs="Times New Roman"/>
          <w:sz w:val="24"/>
          <w:szCs w:val="24"/>
        </w:rPr>
        <w:t>Hamilton, Victor P.</w:t>
      </w:r>
      <w:r w:rsidRPr="008522D2">
        <w:rPr>
          <w:rFonts w:ascii="Times New Roman" w:hAnsi="Times New Roman" w:cs="Times New Roman"/>
          <w:sz w:val="24"/>
          <w:szCs w:val="24"/>
        </w:rPr>
        <w:t xml:space="preserve"> </w:t>
      </w:r>
      <w:r w:rsidRPr="008522D2">
        <w:rPr>
          <w:rFonts w:ascii="Times New Roman" w:hAnsi="Times New Roman" w:cs="Times New Roman"/>
          <w:i/>
          <w:iCs/>
          <w:sz w:val="24"/>
          <w:szCs w:val="24"/>
        </w:rPr>
        <w:t>Handbook on the Historical Books.</w:t>
      </w:r>
      <w:r w:rsidRPr="008522D2">
        <w:rPr>
          <w:rFonts w:ascii="Times New Roman" w:hAnsi="Times New Roman" w:cs="Times New Roman"/>
          <w:sz w:val="24"/>
          <w:szCs w:val="24"/>
        </w:rPr>
        <w:t xml:space="preserve"> Grand Rapids, MI: Baker Publishing</w:t>
      </w:r>
      <w:r w:rsidRPr="008522D2">
        <w:rPr>
          <w:rFonts w:ascii="Times New Roman" w:hAnsi="Times New Roman" w:cs="Times New Roman"/>
          <w:sz w:val="24"/>
          <w:szCs w:val="24"/>
        </w:rPr>
        <w:t>, 2019.</w:t>
      </w:r>
    </w:p>
    <w:p w14:paraId="3586EE9D" w14:textId="77777777" w:rsidR="008522D2" w:rsidRPr="008522D2" w:rsidRDefault="008522D2" w:rsidP="008522D2">
      <w:pPr>
        <w:pStyle w:val="NormalWeb"/>
        <w:shd w:val="clear" w:color="auto" w:fill="FFFFFF"/>
        <w:spacing w:before="0" w:beforeAutospacing="0"/>
        <w:ind w:left="720" w:hanging="720"/>
        <w:rPr>
          <w:color w:val="212529"/>
        </w:rPr>
      </w:pPr>
      <w:r w:rsidRPr="008522D2">
        <w:rPr>
          <w:color w:val="212529"/>
        </w:rPr>
        <w:t>Miles, Todd. </w:t>
      </w:r>
      <w:r w:rsidRPr="008522D2">
        <w:rPr>
          <w:rStyle w:val="Emphasis"/>
          <w:color w:val="212529"/>
        </w:rPr>
        <w:t>A God of Many Understandings?</w:t>
      </w:r>
      <w:r w:rsidRPr="008522D2">
        <w:rPr>
          <w:color w:val="212529"/>
        </w:rPr>
        <w:t xml:space="preserve"> Nashville: Broadman and Holman Publishing House, 2010. </w:t>
      </w:r>
    </w:p>
    <w:sectPr w:rsidR="008522D2" w:rsidRPr="008522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8FB9F" w14:textId="77777777" w:rsidR="00F678AC" w:rsidRDefault="00F678AC" w:rsidP="0005134C">
      <w:pPr>
        <w:spacing w:after="0" w:line="240" w:lineRule="auto"/>
      </w:pPr>
      <w:r>
        <w:separator/>
      </w:r>
    </w:p>
  </w:endnote>
  <w:endnote w:type="continuationSeparator" w:id="0">
    <w:p w14:paraId="55AA4907" w14:textId="77777777" w:rsidR="00F678AC" w:rsidRDefault="00F678AC" w:rsidP="00051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EE194" w14:textId="77777777" w:rsidR="00F678AC" w:rsidRDefault="00F678AC" w:rsidP="0005134C">
      <w:pPr>
        <w:spacing w:after="0" w:line="240" w:lineRule="auto"/>
      </w:pPr>
      <w:r>
        <w:separator/>
      </w:r>
    </w:p>
  </w:footnote>
  <w:footnote w:type="continuationSeparator" w:id="0">
    <w:p w14:paraId="6E82326A" w14:textId="77777777" w:rsidR="00F678AC" w:rsidRDefault="00F678AC" w:rsidP="0005134C">
      <w:pPr>
        <w:spacing w:after="0" w:line="240" w:lineRule="auto"/>
      </w:pPr>
      <w:r>
        <w:continuationSeparator/>
      </w:r>
    </w:p>
  </w:footnote>
  <w:footnote w:id="1">
    <w:p w14:paraId="163CB399" w14:textId="77777777" w:rsidR="009B50D3" w:rsidRDefault="009B50D3" w:rsidP="009B50D3">
      <w:pPr>
        <w:pStyle w:val="FootnoteText"/>
      </w:pPr>
      <w:r>
        <w:rPr>
          <w:rStyle w:val="FootnoteReference"/>
        </w:rPr>
        <w:footnoteRef/>
      </w:r>
      <w:r>
        <w:t xml:space="preserve"> </w:t>
      </w:r>
      <w:r w:rsidRPr="004B5D5D">
        <w:rPr>
          <w:rFonts w:ascii="Times New Roman" w:hAnsi="Times New Roman" w:cs="Times New Roman"/>
        </w:rPr>
        <w:t xml:space="preserve">Unless otherwise noted, all biblical passages referenced are in the </w:t>
      </w:r>
      <w:r w:rsidRPr="004B5D5D">
        <w:rPr>
          <w:rFonts w:ascii="Times New Roman" w:hAnsi="Times New Roman" w:cs="Times New Roman"/>
          <w:i/>
          <w:iCs/>
        </w:rPr>
        <w:t>New International Version</w:t>
      </w:r>
      <w:r w:rsidRPr="004B5D5D">
        <w:rPr>
          <w:rFonts w:ascii="Times New Roman" w:hAnsi="Times New Roman" w:cs="Times New Roman"/>
        </w:rPr>
        <w:t xml:space="preserve"> (Grand Rapids, MI: Zondervan, 2011).</w:t>
      </w:r>
    </w:p>
  </w:footnote>
  <w:footnote w:id="2">
    <w:p w14:paraId="1E67D6BE" w14:textId="77777777" w:rsidR="009B50D3" w:rsidRDefault="009B50D3" w:rsidP="009B50D3">
      <w:pPr>
        <w:pStyle w:val="FootnoteText"/>
      </w:pPr>
      <w:r>
        <w:rPr>
          <w:rStyle w:val="FootnoteReference"/>
        </w:rPr>
        <w:footnoteRef/>
      </w:r>
      <w:r>
        <w:t xml:space="preserve"> </w:t>
      </w:r>
      <w:r w:rsidRPr="00D579D1">
        <w:rPr>
          <w:color w:val="212529"/>
        </w:rPr>
        <w:t xml:space="preserve">Todd Miles, “Chapter One” In </w:t>
      </w:r>
      <w:r w:rsidRPr="00D579D1">
        <w:rPr>
          <w:rStyle w:val="Emphasis"/>
          <w:color w:val="212529"/>
        </w:rPr>
        <w:t>A God of Many Understandings?</w:t>
      </w:r>
      <w:r w:rsidRPr="00D579D1">
        <w:rPr>
          <w:color w:val="212529"/>
        </w:rPr>
        <w:t> (Nashville: Broadman and Holman Publishing House, 2010).</w:t>
      </w:r>
    </w:p>
  </w:footnote>
  <w:footnote w:id="3">
    <w:p w14:paraId="5F52836C" w14:textId="77777777" w:rsidR="009B50D3" w:rsidRDefault="009B50D3" w:rsidP="009B50D3">
      <w:r>
        <w:rPr>
          <w:rStyle w:val="FootnoteReference"/>
        </w:rPr>
        <w:footnoteRef/>
      </w:r>
      <w:r>
        <w:t xml:space="preserve"> </w:t>
      </w:r>
      <w:r w:rsidRPr="00FE3CA9">
        <w:t>Victor P.</w:t>
      </w:r>
      <w:r>
        <w:t xml:space="preserve"> </w:t>
      </w:r>
      <w:r w:rsidRPr="00FE3CA9">
        <w:t xml:space="preserve">Hamilton, </w:t>
      </w:r>
      <w:r w:rsidRPr="00FE3CA9">
        <w:rPr>
          <w:i/>
          <w:iCs/>
        </w:rPr>
        <w:t>Handbook on the Historical Books</w:t>
      </w:r>
      <w:r w:rsidRPr="00FE3CA9">
        <w:t xml:space="preserve"> </w:t>
      </w:r>
      <w:r>
        <w:t>(</w:t>
      </w:r>
      <w:r w:rsidRPr="00FE3CA9">
        <w:t>Grand Rapids, MI: Baker Publishing</w:t>
      </w:r>
      <w:r>
        <w:t>, 2019), 47.</w:t>
      </w:r>
    </w:p>
    <w:p w14:paraId="7B88B427" w14:textId="77777777" w:rsidR="009B50D3" w:rsidRDefault="009B50D3" w:rsidP="009B50D3">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E6D"/>
    <w:rsid w:val="00027620"/>
    <w:rsid w:val="0005134C"/>
    <w:rsid w:val="00167F5F"/>
    <w:rsid w:val="001C0916"/>
    <w:rsid w:val="00324CC7"/>
    <w:rsid w:val="0050359C"/>
    <w:rsid w:val="00594BFC"/>
    <w:rsid w:val="005B5370"/>
    <w:rsid w:val="0063201B"/>
    <w:rsid w:val="008522D2"/>
    <w:rsid w:val="00971B53"/>
    <w:rsid w:val="009B50D3"/>
    <w:rsid w:val="00A565D0"/>
    <w:rsid w:val="00BB4156"/>
    <w:rsid w:val="00BE0B80"/>
    <w:rsid w:val="00EF0E6D"/>
    <w:rsid w:val="00F064FE"/>
    <w:rsid w:val="00F678AC"/>
    <w:rsid w:val="00FA6948"/>
    <w:rsid w:val="00FE1F45"/>
    <w:rsid w:val="00FE3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98AFF"/>
  <w15:chartTrackingRefBased/>
  <w15:docId w15:val="{31B2C2C3-7C36-46FC-814D-1172E68E8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134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5134C"/>
    <w:rPr>
      <w:i/>
      <w:iCs/>
    </w:rPr>
  </w:style>
  <w:style w:type="paragraph" w:styleId="FootnoteText">
    <w:name w:val="footnote text"/>
    <w:basedOn w:val="Normal"/>
    <w:link w:val="FootnoteTextChar"/>
    <w:uiPriority w:val="99"/>
    <w:semiHidden/>
    <w:unhideWhenUsed/>
    <w:rsid w:val="000513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134C"/>
    <w:rPr>
      <w:sz w:val="20"/>
      <w:szCs w:val="20"/>
    </w:rPr>
  </w:style>
  <w:style w:type="character" w:styleId="FootnoteReference">
    <w:name w:val="footnote reference"/>
    <w:basedOn w:val="DefaultParagraphFont"/>
    <w:uiPriority w:val="99"/>
    <w:semiHidden/>
    <w:unhideWhenUsed/>
    <w:rsid w:val="0005134C"/>
    <w:rPr>
      <w:vertAlign w:val="superscript"/>
    </w:rPr>
  </w:style>
  <w:style w:type="character" w:styleId="Hyperlink">
    <w:name w:val="Hyperlink"/>
    <w:basedOn w:val="DefaultParagraphFont"/>
    <w:uiPriority w:val="99"/>
    <w:semiHidden/>
    <w:unhideWhenUsed/>
    <w:rsid w:val="009B50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39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12619FE-D4BF-48C6-9584-98635B35D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2021-07-01T19:43:00Z</dcterms:created>
  <dcterms:modified xsi:type="dcterms:W3CDTF">2021-07-02T00:36:00Z</dcterms:modified>
</cp:coreProperties>
</file>