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9EFCB0" w14:textId="3588A6FB" w:rsidR="002C552D" w:rsidRDefault="002C552D" w:rsidP="002C552D">
      <w:pPr>
        <w:pStyle w:val="NormalWeb"/>
        <w:spacing w:before="0" w:beforeAutospacing="0" w:after="0" w:afterAutospacing="0"/>
        <w:rPr>
          <w:color w:val="0E101A"/>
        </w:rPr>
      </w:pPr>
      <w:r>
        <w:rPr>
          <w:color w:val="0E101A"/>
        </w:rPr>
        <w:t>In today’s Christian social fabric, there is so much talk about the grace of God. Hardly do churches talk about the law anymore. But yet in ancient Israel, as we are going to see, the law is the bedrock of God’s covenant with Israel. No ink is spared in articulating what God expects of the Israelites in exchange for his unrelenting favor and other benefits. For ancient Israel, the law was everything for God’s people. To love God was to obey his commands. Israelites were to keep God’s commands in their hearts. Furthermore, they were to</w:t>
      </w:r>
      <w:r>
        <w:rPr>
          <w:rStyle w:val="Strong"/>
          <w:color w:val="0E101A"/>
        </w:rPr>
        <w:t> </w:t>
      </w:r>
      <w:r>
        <w:rPr>
          <w:color w:val="0E101A"/>
        </w:rPr>
        <w:t>impress the law on their children; talk about them when they sit at home. Also, when they walk along the road, when they lie down and when they get up. Additionally, they were to tie God’s commands as reminders on their hands, bind them on their foreheads and write them on the doorposts of their houses and gates (Deut 6:6-9, NIV).</w:t>
      </w:r>
      <w:r w:rsidRPr="006900FB">
        <w:rPr>
          <w:rStyle w:val="FootnoteReference"/>
        </w:rPr>
        <w:footnoteReference w:id="1"/>
      </w:r>
      <w:r>
        <w:rPr>
          <w:color w:val="0E101A"/>
        </w:rPr>
        <w:t> For ancient Israel, the law was binding between God and them. Israelites were required to obey God, and God was required to bless them with benefits that included protection, long life, and favor. Within the society, the laws were meant to affect both the social and moral behaviors of individuals. Individuals were required to adhere to these laws for harmony to prevail in ancient Israel.</w:t>
      </w:r>
    </w:p>
    <w:p w14:paraId="4D50CCF8" w14:textId="77777777" w:rsidR="002C552D" w:rsidRDefault="002C552D" w:rsidP="002C552D">
      <w:pPr>
        <w:pStyle w:val="NormalWeb"/>
        <w:spacing w:before="0" w:beforeAutospacing="0" w:after="0" w:afterAutospacing="0"/>
        <w:rPr>
          <w:color w:val="0E101A"/>
        </w:rPr>
      </w:pPr>
      <w:r>
        <w:rPr>
          <w:color w:val="0E101A"/>
        </w:rPr>
        <w:t>The ancient Israelites believed that God had given them a divine mandate to bring his kingdom down to earth. Also, they believed the law acted as a means for fulfilling the will of God. Thus, when Christ came, based on his teachings, many Israelites were wary that he had come to abolish the same law. In Mathew 5:17, Jesus had to remind them that he had not come to abolish the law but to fulfill it. Whatever the law said in ancient Israel, as Paul would argue with Galatians, it was all leading to Christ (Gal 3:19). The law showed us our sin (Rom 7:7). Even wrenching, it showed us how wretched we are (14-25). Though it leads us to Christ, it can never unite us with God. As Paul reiterates to the Galatians, “Clearly no one who relies on the law is justified before God, because “the righteous will live by faith” (Gal 3:11). The only thing that the law could do was to show us how badly we needed a savior. </w:t>
      </w:r>
    </w:p>
    <w:p w14:paraId="2FD428A0" w14:textId="72E63B43" w:rsidR="002C552D" w:rsidRDefault="002C552D" w:rsidP="002C552D">
      <w:pPr>
        <w:pStyle w:val="NormalWeb"/>
        <w:spacing w:before="0" w:beforeAutospacing="0" w:after="0" w:afterAutospacing="0"/>
        <w:rPr>
          <w:color w:val="0E101A"/>
        </w:rPr>
      </w:pPr>
      <w:r>
        <w:rPr>
          <w:color w:val="0E101A"/>
        </w:rPr>
        <w:t>For the 21st century Christians, I insist still that the law must be followed. First and foremost, it is regrettable that some who perhaps might have misunderstood Martin Luther and his </w:t>
      </w:r>
      <w:r>
        <w:rPr>
          <w:rStyle w:val="Emphasis"/>
          <w:color w:val="0E101A"/>
        </w:rPr>
        <w:t>95 Thesis</w:t>
      </w:r>
      <w:r>
        <w:rPr>
          <w:color w:val="0E101A"/>
        </w:rPr>
        <w:t xml:space="preserve">, today continue to vehemently suggest that the law does not matter or rather is insignificant. These preachers argue that on account of the grace of God, the law is null and void. However, looking keenly at the scriptures, neither Christ nor Paul advocated for the putting aside of the law. The only thing that Christ and Paul argued against is the Jewish identity markers of circumcision, eating certain foods, and observing their festivals. Thus, when Paul lashes out at the Galatians (Gal 3:2), he is not asking them to ignore the commands of the Lord Do not steal, </w:t>
      </w:r>
      <w:proofErr w:type="gramStart"/>
      <w:r>
        <w:rPr>
          <w:color w:val="0E101A"/>
        </w:rPr>
        <w:t>Do</w:t>
      </w:r>
      <w:proofErr w:type="gramEnd"/>
      <w:r>
        <w:rPr>
          <w:color w:val="0E101A"/>
        </w:rPr>
        <w:t xml:space="preserve"> not commit adultery, etc. He is only telling them that they cannot earn salvation. Works of the law cannot save anyone. Only faith through Jesus Christ. Because we are saved, we can now obey the law and not vice versa. This pattern is not consistent throughout the Bible. As much as the Old Testament seems to impress on the reader that Israelites survived by the law, some scholars still believe that God weaved his grace through its legalism. The fact that God began a relationship with the Israelites through Abraham with a promise makes this abundantly clear. Abraham was righteous not because he obeyed the law but because God declared him righteous. Victor P. Hamilton avers, “The God who speaks a word of law does so only after he has spoken a word of grace.”</w:t>
      </w:r>
      <w:r w:rsidRPr="006900FB">
        <w:rPr>
          <w:rStyle w:val="FootnoteReference"/>
          <w:color w:val="000000"/>
          <w:shd w:val="clear" w:color="auto" w:fill="FFFFFF"/>
        </w:rPr>
        <w:footnoteReference w:id="2"/>
      </w:r>
      <w:r>
        <w:rPr>
          <w:color w:val="0E101A"/>
        </w:rPr>
        <w:t xml:space="preserve"> He further says, “The divine standards are not placed in a vacuum but are set against the bountiful resources of a gracious God. Additionally, Israel is to obey these laws not to </w:t>
      </w:r>
      <w:r>
        <w:rPr>
          <w:color w:val="0E101A"/>
        </w:rPr>
        <w:lastRenderedPageBreak/>
        <w:t>become holy, but rather, because Israel is holy. The observance of the law is a by-product of holiness, not a means of attaining holiness.”</w:t>
      </w:r>
      <w:r w:rsidRPr="006900FB">
        <w:rPr>
          <w:rStyle w:val="FootnoteReference"/>
        </w:rPr>
        <w:footnoteReference w:id="3"/>
      </w:r>
    </w:p>
    <w:p w14:paraId="2BDED7E6" w14:textId="77777777" w:rsidR="002C552D" w:rsidRDefault="002C552D" w:rsidP="00BD3728">
      <w:pPr>
        <w:rPr>
          <w:rFonts w:ascii="Times New Roman" w:hAnsi="Times New Roman" w:cs="Times New Roman"/>
          <w:sz w:val="24"/>
          <w:szCs w:val="24"/>
        </w:rPr>
      </w:pPr>
    </w:p>
    <w:p w14:paraId="55AD9508" w14:textId="77777777" w:rsidR="002C552D" w:rsidRPr="008522D2" w:rsidRDefault="002C552D" w:rsidP="002C552D">
      <w:pPr>
        <w:rPr>
          <w:rFonts w:ascii="Times New Roman" w:hAnsi="Times New Roman" w:cs="Times New Roman"/>
          <w:b/>
          <w:bCs/>
          <w:sz w:val="24"/>
          <w:szCs w:val="24"/>
        </w:rPr>
      </w:pPr>
      <w:r w:rsidRPr="008522D2">
        <w:rPr>
          <w:rFonts w:ascii="Times New Roman" w:hAnsi="Times New Roman" w:cs="Times New Roman"/>
          <w:b/>
          <w:bCs/>
          <w:sz w:val="24"/>
          <w:szCs w:val="24"/>
        </w:rPr>
        <w:t>Bibliography</w:t>
      </w:r>
    </w:p>
    <w:p w14:paraId="7F3B4558" w14:textId="77777777" w:rsidR="002C552D" w:rsidRPr="008522D2" w:rsidRDefault="002C552D" w:rsidP="002C552D">
      <w:pPr>
        <w:ind w:left="720" w:hanging="720"/>
        <w:rPr>
          <w:rFonts w:ascii="Times New Roman" w:hAnsi="Times New Roman" w:cs="Times New Roman"/>
          <w:sz w:val="24"/>
          <w:szCs w:val="24"/>
        </w:rPr>
      </w:pPr>
      <w:r w:rsidRPr="008522D2">
        <w:rPr>
          <w:rFonts w:ascii="Times New Roman" w:hAnsi="Times New Roman" w:cs="Times New Roman"/>
          <w:sz w:val="24"/>
          <w:szCs w:val="24"/>
        </w:rPr>
        <w:t xml:space="preserve">Hamilton, Victor P. </w:t>
      </w:r>
      <w:r w:rsidRPr="008522D2">
        <w:rPr>
          <w:rFonts w:ascii="Times New Roman" w:hAnsi="Times New Roman" w:cs="Times New Roman"/>
          <w:i/>
          <w:iCs/>
          <w:sz w:val="24"/>
          <w:szCs w:val="24"/>
        </w:rPr>
        <w:t>Handbook on the Historical Books.</w:t>
      </w:r>
      <w:r w:rsidRPr="008522D2">
        <w:rPr>
          <w:rFonts w:ascii="Times New Roman" w:hAnsi="Times New Roman" w:cs="Times New Roman"/>
          <w:sz w:val="24"/>
          <w:szCs w:val="24"/>
        </w:rPr>
        <w:t xml:space="preserve"> Grand Rapids, MI: Baker Publishing, 2019.</w:t>
      </w:r>
    </w:p>
    <w:p w14:paraId="01F473C1" w14:textId="3AB7A1BD" w:rsidR="00765A80" w:rsidRPr="006900FB" w:rsidRDefault="00765A80" w:rsidP="00BD3728">
      <w:pPr>
        <w:rPr>
          <w:rFonts w:ascii="Times New Roman" w:hAnsi="Times New Roman" w:cs="Times New Roman"/>
          <w:sz w:val="24"/>
          <w:szCs w:val="24"/>
        </w:rPr>
      </w:pPr>
    </w:p>
    <w:sectPr w:rsidR="00765A80" w:rsidRPr="006900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1A6FFC" w14:textId="77777777" w:rsidR="00A67457" w:rsidRDefault="00A67457" w:rsidP="00DF6F1D">
      <w:pPr>
        <w:spacing w:after="0" w:line="240" w:lineRule="auto"/>
      </w:pPr>
      <w:r>
        <w:separator/>
      </w:r>
    </w:p>
  </w:endnote>
  <w:endnote w:type="continuationSeparator" w:id="0">
    <w:p w14:paraId="623C88C7" w14:textId="77777777" w:rsidR="00A67457" w:rsidRDefault="00A67457" w:rsidP="00DF6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DE32D5" w14:textId="77777777" w:rsidR="00A67457" w:rsidRDefault="00A67457" w:rsidP="00DF6F1D">
      <w:pPr>
        <w:spacing w:after="0" w:line="240" w:lineRule="auto"/>
      </w:pPr>
      <w:r>
        <w:separator/>
      </w:r>
    </w:p>
  </w:footnote>
  <w:footnote w:type="continuationSeparator" w:id="0">
    <w:p w14:paraId="09F7B865" w14:textId="77777777" w:rsidR="00A67457" w:rsidRDefault="00A67457" w:rsidP="00DF6F1D">
      <w:pPr>
        <w:spacing w:after="0" w:line="240" w:lineRule="auto"/>
      </w:pPr>
      <w:r>
        <w:continuationSeparator/>
      </w:r>
    </w:p>
  </w:footnote>
  <w:footnote w:id="1">
    <w:p w14:paraId="40D993E1" w14:textId="77777777" w:rsidR="002C552D" w:rsidRDefault="002C552D" w:rsidP="002C552D">
      <w:pPr>
        <w:pStyle w:val="FootnoteText"/>
      </w:pPr>
      <w:r>
        <w:rPr>
          <w:rStyle w:val="FootnoteReference"/>
        </w:rPr>
        <w:footnoteRef/>
      </w:r>
      <w:r>
        <w:t xml:space="preserve"> </w:t>
      </w:r>
      <w:r w:rsidRPr="005C242E">
        <w:rPr>
          <w:rFonts w:ascii="Times New Roman" w:hAnsi="Times New Roman" w:cs="Times New Roman"/>
        </w:rPr>
        <w:t xml:space="preserve">Unless otherwise noted, all biblical passages referenced are in the </w:t>
      </w:r>
      <w:r w:rsidRPr="005C242E">
        <w:rPr>
          <w:rFonts w:ascii="Times New Roman" w:hAnsi="Times New Roman" w:cs="Times New Roman"/>
          <w:i/>
          <w:iCs/>
        </w:rPr>
        <w:t>New International Version</w:t>
      </w:r>
      <w:r w:rsidRPr="005C242E">
        <w:rPr>
          <w:rFonts w:ascii="Times New Roman" w:hAnsi="Times New Roman" w:cs="Times New Roman"/>
        </w:rPr>
        <w:t xml:space="preserve"> (Grand Rapids, MI: Zondervan, 2011).</w:t>
      </w:r>
    </w:p>
  </w:footnote>
  <w:footnote w:id="2">
    <w:p w14:paraId="0B0A6BA7" w14:textId="77777777" w:rsidR="002C552D" w:rsidRDefault="002C552D" w:rsidP="002C552D">
      <w:pPr>
        <w:pStyle w:val="FootnoteText"/>
      </w:pPr>
      <w:r>
        <w:rPr>
          <w:rStyle w:val="FootnoteReference"/>
        </w:rPr>
        <w:footnoteRef/>
      </w:r>
      <w:r>
        <w:t xml:space="preserve"> </w:t>
      </w:r>
      <w:r w:rsidRPr="00FE3CA9">
        <w:t>Victor P.</w:t>
      </w:r>
      <w:r>
        <w:t xml:space="preserve"> </w:t>
      </w:r>
      <w:r w:rsidRPr="00FE3CA9">
        <w:t xml:space="preserve">Hamilton, </w:t>
      </w:r>
      <w:r w:rsidRPr="00DF6F1D">
        <w:rPr>
          <w:i/>
          <w:iCs/>
        </w:rPr>
        <w:t>Handbook on the Pentateuch: Genesis, Exodus, Leviticus, Numbers, Deuteronomy</w:t>
      </w:r>
      <w:r w:rsidRPr="00765A80">
        <w:t xml:space="preserve">, 2nd Edition </w:t>
      </w:r>
      <w:r>
        <w:t>(</w:t>
      </w:r>
      <w:r w:rsidRPr="00FE3CA9">
        <w:t>Grand Rapids, MI: Baker Publishing</w:t>
      </w:r>
      <w:r>
        <w:t>, 2019), 402.</w:t>
      </w:r>
    </w:p>
  </w:footnote>
  <w:footnote w:id="3">
    <w:p w14:paraId="462EB97A" w14:textId="77777777" w:rsidR="002C552D" w:rsidRDefault="002C552D" w:rsidP="002C552D">
      <w:pPr>
        <w:pStyle w:val="FootnoteText"/>
      </w:pPr>
      <w:r>
        <w:rPr>
          <w:rStyle w:val="FootnoteReference"/>
        </w:rPr>
        <w:footnoteRef/>
      </w:r>
      <w:r>
        <w:t xml:space="preserve"> Ibid., 402.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CB52DB"/>
    <w:multiLevelType w:val="multilevel"/>
    <w:tmpl w:val="BC1AD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728"/>
    <w:rsid w:val="00063CC7"/>
    <w:rsid w:val="00087440"/>
    <w:rsid w:val="00114D47"/>
    <w:rsid w:val="00164381"/>
    <w:rsid w:val="0017736D"/>
    <w:rsid w:val="001A66B5"/>
    <w:rsid w:val="00230759"/>
    <w:rsid w:val="00253CAA"/>
    <w:rsid w:val="002C552D"/>
    <w:rsid w:val="00414A9C"/>
    <w:rsid w:val="005C42FB"/>
    <w:rsid w:val="006900FB"/>
    <w:rsid w:val="00704109"/>
    <w:rsid w:val="00765A80"/>
    <w:rsid w:val="00776BEB"/>
    <w:rsid w:val="00851152"/>
    <w:rsid w:val="009B1CC0"/>
    <w:rsid w:val="00A67457"/>
    <w:rsid w:val="00BD3728"/>
    <w:rsid w:val="00C642E4"/>
    <w:rsid w:val="00DF6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02694"/>
  <w15:chartTrackingRefBased/>
  <w15:docId w15:val="{EE0809D7-A534-4FDE-931F-B9C8F6DD4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3728"/>
    <w:rPr>
      <w:color w:val="0563C1" w:themeColor="hyperlink"/>
      <w:u w:val="single"/>
    </w:rPr>
  </w:style>
  <w:style w:type="character" w:styleId="UnresolvedMention">
    <w:name w:val="Unresolved Mention"/>
    <w:basedOn w:val="DefaultParagraphFont"/>
    <w:uiPriority w:val="99"/>
    <w:semiHidden/>
    <w:unhideWhenUsed/>
    <w:rsid w:val="00BD3728"/>
    <w:rPr>
      <w:color w:val="605E5C"/>
      <w:shd w:val="clear" w:color="auto" w:fill="E1DFDD"/>
    </w:rPr>
  </w:style>
  <w:style w:type="character" w:customStyle="1" w:styleId="reftext">
    <w:name w:val="reftext"/>
    <w:basedOn w:val="DefaultParagraphFont"/>
    <w:rsid w:val="00063CC7"/>
  </w:style>
  <w:style w:type="character" w:customStyle="1" w:styleId="highl">
    <w:name w:val="highl"/>
    <w:basedOn w:val="DefaultParagraphFont"/>
    <w:rsid w:val="00063CC7"/>
  </w:style>
  <w:style w:type="character" w:customStyle="1" w:styleId="text">
    <w:name w:val="text"/>
    <w:basedOn w:val="DefaultParagraphFont"/>
    <w:rsid w:val="00063CC7"/>
  </w:style>
  <w:style w:type="paragraph" w:styleId="FootnoteText">
    <w:name w:val="footnote text"/>
    <w:basedOn w:val="Normal"/>
    <w:link w:val="FootnoteTextChar"/>
    <w:uiPriority w:val="99"/>
    <w:semiHidden/>
    <w:unhideWhenUsed/>
    <w:rsid w:val="00DF6F1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6F1D"/>
    <w:rPr>
      <w:sz w:val="20"/>
      <w:szCs w:val="20"/>
    </w:rPr>
  </w:style>
  <w:style w:type="character" w:styleId="FootnoteReference">
    <w:name w:val="footnote reference"/>
    <w:basedOn w:val="DefaultParagraphFont"/>
    <w:uiPriority w:val="99"/>
    <w:semiHidden/>
    <w:unhideWhenUsed/>
    <w:rsid w:val="00DF6F1D"/>
    <w:rPr>
      <w:vertAlign w:val="superscript"/>
    </w:rPr>
  </w:style>
  <w:style w:type="paragraph" w:styleId="NormalWeb">
    <w:name w:val="Normal (Web)"/>
    <w:basedOn w:val="Normal"/>
    <w:uiPriority w:val="99"/>
    <w:semiHidden/>
    <w:unhideWhenUsed/>
    <w:rsid w:val="002C552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C552D"/>
    <w:rPr>
      <w:b/>
      <w:bCs/>
    </w:rPr>
  </w:style>
  <w:style w:type="character" w:styleId="Emphasis">
    <w:name w:val="Emphasis"/>
    <w:basedOn w:val="DefaultParagraphFont"/>
    <w:uiPriority w:val="20"/>
    <w:qFormat/>
    <w:rsid w:val="002C55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0567646">
      <w:bodyDiv w:val="1"/>
      <w:marLeft w:val="0"/>
      <w:marRight w:val="0"/>
      <w:marTop w:val="0"/>
      <w:marBottom w:val="0"/>
      <w:divBdr>
        <w:top w:val="none" w:sz="0" w:space="0" w:color="auto"/>
        <w:left w:val="none" w:sz="0" w:space="0" w:color="auto"/>
        <w:bottom w:val="none" w:sz="0" w:space="0" w:color="auto"/>
        <w:right w:val="none" w:sz="0" w:space="0" w:color="auto"/>
      </w:divBdr>
    </w:div>
    <w:div w:id="1264874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4F499C7-4032-4754-B9EC-8C0B97FD2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1585</TotalTime>
  <Pages>2</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2021-07-13T20:31:00Z</dcterms:created>
  <dcterms:modified xsi:type="dcterms:W3CDTF">2021-07-16T00:05:00Z</dcterms:modified>
</cp:coreProperties>
</file>