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121953" w:rsidRDefault="00DF7AA0" w:rsidP="00DF7AA0">
      <w:pPr>
        <w:rPr>
          <w:rFonts w:cs="Times New Roman"/>
          <w:szCs w:val="24"/>
        </w:rPr>
      </w:pPr>
    </w:p>
    <w:p w14:paraId="21D87481" w14:textId="77777777" w:rsidR="00375636" w:rsidRPr="00872F9C" w:rsidRDefault="00375636" w:rsidP="0037563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bookmarkStart w:id="9" w:name="_Toc73326369"/>
      <w:r w:rsidRPr="00872F9C">
        <w:rPr>
          <w:rFonts w:cs="Times New Roman"/>
          <w:szCs w:val="24"/>
        </w:rPr>
        <w:t>LIBERTY UNIVERSITY</w:t>
      </w:r>
    </w:p>
    <w:p w14:paraId="07FA4585" w14:textId="77777777" w:rsidR="00375636" w:rsidRPr="00872F9C" w:rsidRDefault="00375636" w:rsidP="00375636">
      <w:pPr>
        <w:jc w:val="center"/>
        <w:rPr>
          <w:rFonts w:cs="Times New Roman"/>
          <w:szCs w:val="24"/>
        </w:rPr>
      </w:pPr>
      <w:r w:rsidRPr="00872F9C">
        <w:rPr>
          <w:rFonts w:cs="Times New Roman"/>
          <w:szCs w:val="24"/>
        </w:rPr>
        <w:t xml:space="preserve">JOHN W. RAWLINGS SCHOOL OF DIVINITY </w:t>
      </w:r>
    </w:p>
    <w:p w14:paraId="2749ABD3" w14:textId="77777777" w:rsidR="00375636" w:rsidRPr="00872F9C" w:rsidRDefault="00375636" w:rsidP="00375636">
      <w:pPr>
        <w:jc w:val="center"/>
        <w:rPr>
          <w:rFonts w:cs="Times New Roman"/>
          <w:szCs w:val="24"/>
        </w:rPr>
      </w:pPr>
    </w:p>
    <w:p w14:paraId="50519372" w14:textId="77777777" w:rsidR="00375636" w:rsidRDefault="00375636" w:rsidP="00375636">
      <w:pPr>
        <w:rPr>
          <w:rFonts w:cs="Times New Roman"/>
          <w:szCs w:val="24"/>
        </w:rPr>
      </w:pPr>
    </w:p>
    <w:p w14:paraId="6492556D" w14:textId="77777777" w:rsidR="00375636" w:rsidRPr="00872F9C" w:rsidRDefault="00375636" w:rsidP="00375636">
      <w:pPr>
        <w:rPr>
          <w:rFonts w:cs="Times New Roman"/>
          <w:szCs w:val="24"/>
        </w:rPr>
      </w:pPr>
    </w:p>
    <w:p w14:paraId="5CE42EB5" w14:textId="7CAD01A1" w:rsidR="00375636" w:rsidRDefault="00375636" w:rsidP="00375636">
      <w:pPr>
        <w:jc w:val="center"/>
        <w:rPr>
          <w:rFonts w:cs="Times New Roman"/>
          <w:b/>
          <w:bCs/>
          <w:szCs w:val="24"/>
        </w:rPr>
      </w:pPr>
      <w:r w:rsidRPr="008C3BE8">
        <w:rPr>
          <w:rFonts w:cs="Times New Roman"/>
          <w:b/>
          <w:bCs/>
          <w:szCs w:val="24"/>
        </w:rPr>
        <w:t>Interpretive Commentary</w:t>
      </w:r>
      <w:r>
        <w:rPr>
          <w:rFonts w:cs="Times New Roman"/>
          <w:b/>
          <w:bCs/>
          <w:szCs w:val="24"/>
        </w:rPr>
        <w:t>:</w:t>
      </w:r>
      <w:r w:rsidRPr="008C3BE8">
        <w:rPr>
          <w:rFonts w:cs="Times New Roman"/>
          <w:b/>
          <w:bCs/>
          <w:szCs w:val="24"/>
        </w:rPr>
        <w:t xml:space="preserve"> </w:t>
      </w:r>
      <w:r>
        <w:rPr>
          <w:rFonts w:cs="Times New Roman"/>
          <w:b/>
          <w:bCs/>
          <w:szCs w:val="24"/>
        </w:rPr>
        <w:t>Final</w:t>
      </w:r>
      <w:r w:rsidRPr="008C3BE8">
        <w:rPr>
          <w:rFonts w:cs="Times New Roman"/>
          <w:b/>
          <w:bCs/>
          <w:szCs w:val="24"/>
        </w:rPr>
        <w:t xml:space="preserve"> Assignment</w:t>
      </w:r>
    </w:p>
    <w:p w14:paraId="14246D82" w14:textId="2AEC0AD8" w:rsidR="00375636" w:rsidRDefault="00375636" w:rsidP="00375636">
      <w:pPr>
        <w:jc w:val="center"/>
        <w:rPr>
          <w:rFonts w:cs="Times New Roman"/>
          <w:b/>
          <w:bCs/>
          <w:szCs w:val="24"/>
        </w:rPr>
      </w:pPr>
      <w:r>
        <w:rPr>
          <w:rFonts w:cs="Times New Roman"/>
          <w:b/>
          <w:bCs/>
          <w:szCs w:val="24"/>
        </w:rPr>
        <w:t>2 Kings 17-20</w:t>
      </w:r>
    </w:p>
    <w:p w14:paraId="38E0B61D" w14:textId="77777777" w:rsidR="00375636" w:rsidRDefault="00375636" w:rsidP="00375636">
      <w:pPr>
        <w:jc w:val="center"/>
        <w:rPr>
          <w:rFonts w:cs="Times New Roman"/>
          <w:b/>
          <w:bCs/>
          <w:szCs w:val="24"/>
        </w:rPr>
      </w:pPr>
    </w:p>
    <w:p w14:paraId="1FB740A4" w14:textId="77777777" w:rsidR="00375636" w:rsidRDefault="00375636" w:rsidP="00375636">
      <w:pPr>
        <w:jc w:val="center"/>
        <w:rPr>
          <w:rFonts w:cs="Times New Roman"/>
          <w:b/>
          <w:bCs/>
          <w:szCs w:val="24"/>
        </w:rPr>
      </w:pPr>
    </w:p>
    <w:p w14:paraId="54379FB4" w14:textId="77777777" w:rsidR="00375636" w:rsidRPr="00872F9C" w:rsidRDefault="00375636" w:rsidP="00375636">
      <w:pPr>
        <w:jc w:val="center"/>
        <w:rPr>
          <w:rFonts w:cs="Times New Roman"/>
          <w:szCs w:val="24"/>
        </w:rPr>
      </w:pPr>
    </w:p>
    <w:p w14:paraId="74F6AB35" w14:textId="77777777" w:rsidR="00375636" w:rsidRPr="00872F9C" w:rsidRDefault="00375636" w:rsidP="00375636">
      <w:pPr>
        <w:jc w:val="center"/>
        <w:rPr>
          <w:rFonts w:cs="Times New Roman"/>
          <w:szCs w:val="24"/>
        </w:rPr>
      </w:pPr>
      <w:r w:rsidRPr="00872F9C">
        <w:rPr>
          <w:rFonts w:cs="Times New Roman"/>
          <w:szCs w:val="24"/>
        </w:rPr>
        <w:t xml:space="preserve">Submitted to </w:t>
      </w:r>
      <w:r>
        <w:rPr>
          <w:rFonts w:cs="Times New Roman"/>
          <w:szCs w:val="24"/>
        </w:rPr>
        <w:t>Dr. Daniel Gurtner</w:t>
      </w:r>
    </w:p>
    <w:p w14:paraId="361302E5" w14:textId="77777777" w:rsidR="00375636" w:rsidRPr="00872F9C" w:rsidRDefault="00375636" w:rsidP="00375636">
      <w:pPr>
        <w:jc w:val="center"/>
        <w:rPr>
          <w:rFonts w:cs="Times New Roman"/>
          <w:szCs w:val="24"/>
        </w:rPr>
      </w:pPr>
      <w:r w:rsidRPr="00872F9C">
        <w:rPr>
          <w:rFonts w:cs="Times New Roman"/>
          <w:szCs w:val="24"/>
        </w:rPr>
        <w:t xml:space="preserve">in partial fulfillment of the requirements for the completion of </w:t>
      </w:r>
    </w:p>
    <w:p w14:paraId="1262E1BD" w14:textId="77777777" w:rsidR="00375636" w:rsidRPr="00872F9C" w:rsidRDefault="00375636" w:rsidP="00375636">
      <w:pPr>
        <w:jc w:val="center"/>
        <w:rPr>
          <w:rFonts w:cs="Times New Roman"/>
          <w:szCs w:val="24"/>
        </w:rPr>
      </w:pPr>
    </w:p>
    <w:p w14:paraId="767ABB44" w14:textId="77777777" w:rsidR="00375636" w:rsidRPr="00872F9C" w:rsidRDefault="00375636" w:rsidP="00375636">
      <w:pPr>
        <w:jc w:val="center"/>
        <w:rPr>
          <w:rFonts w:cs="Times New Roman"/>
          <w:szCs w:val="24"/>
        </w:rPr>
      </w:pPr>
    </w:p>
    <w:p w14:paraId="5D6F14F7" w14:textId="77777777" w:rsidR="00375636" w:rsidRPr="00872F9C" w:rsidRDefault="00375636" w:rsidP="00375636">
      <w:pPr>
        <w:jc w:val="center"/>
        <w:rPr>
          <w:rFonts w:cs="Times New Roman"/>
          <w:szCs w:val="24"/>
        </w:rPr>
      </w:pPr>
      <w:r>
        <w:rPr>
          <w:rFonts w:cs="Times New Roman"/>
          <w:szCs w:val="24"/>
        </w:rPr>
        <w:t>OBST 515- D02</w:t>
      </w:r>
    </w:p>
    <w:p w14:paraId="09842BEA" w14:textId="77777777" w:rsidR="00375636" w:rsidRPr="00872F9C" w:rsidRDefault="00375636" w:rsidP="00375636">
      <w:pPr>
        <w:jc w:val="center"/>
        <w:rPr>
          <w:rFonts w:cs="Times New Roman"/>
          <w:szCs w:val="24"/>
        </w:rPr>
      </w:pPr>
      <w:r>
        <w:rPr>
          <w:rFonts w:cs="Times New Roman"/>
          <w:szCs w:val="24"/>
        </w:rPr>
        <w:t>Old Testament Orientation</w:t>
      </w:r>
    </w:p>
    <w:p w14:paraId="2E955DDE" w14:textId="77777777" w:rsidR="00375636" w:rsidRPr="00872F9C" w:rsidRDefault="00375636" w:rsidP="00375636">
      <w:pPr>
        <w:jc w:val="center"/>
        <w:rPr>
          <w:rFonts w:cs="Times New Roman"/>
          <w:szCs w:val="24"/>
        </w:rPr>
      </w:pPr>
    </w:p>
    <w:p w14:paraId="333EC76B" w14:textId="77777777" w:rsidR="00375636" w:rsidRPr="00872F9C" w:rsidRDefault="00375636" w:rsidP="00375636">
      <w:pPr>
        <w:jc w:val="center"/>
        <w:rPr>
          <w:rFonts w:cs="Times New Roman"/>
          <w:szCs w:val="24"/>
        </w:rPr>
      </w:pPr>
    </w:p>
    <w:p w14:paraId="0A752F70" w14:textId="77777777" w:rsidR="00375636" w:rsidRPr="00872F9C" w:rsidRDefault="00375636" w:rsidP="00375636">
      <w:pPr>
        <w:jc w:val="center"/>
        <w:rPr>
          <w:rFonts w:cs="Times New Roman"/>
          <w:szCs w:val="24"/>
        </w:rPr>
      </w:pPr>
      <w:r w:rsidRPr="00872F9C">
        <w:rPr>
          <w:rFonts w:cs="Times New Roman"/>
          <w:szCs w:val="24"/>
        </w:rPr>
        <w:t>by</w:t>
      </w:r>
    </w:p>
    <w:p w14:paraId="4CA98DD0" w14:textId="77777777" w:rsidR="00375636" w:rsidRPr="00872F9C" w:rsidRDefault="00375636" w:rsidP="00375636">
      <w:pPr>
        <w:rPr>
          <w:rFonts w:cs="Times New Roman"/>
          <w:szCs w:val="24"/>
        </w:rPr>
      </w:pPr>
    </w:p>
    <w:p w14:paraId="1FB25243" w14:textId="77777777" w:rsidR="00375636" w:rsidRPr="00872F9C" w:rsidRDefault="00375636" w:rsidP="00375636">
      <w:pPr>
        <w:jc w:val="center"/>
        <w:rPr>
          <w:rFonts w:cs="Times New Roman"/>
          <w:szCs w:val="24"/>
        </w:rPr>
      </w:pPr>
      <w:r w:rsidRPr="00872F9C">
        <w:rPr>
          <w:rFonts w:cs="Times New Roman"/>
          <w:szCs w:val="24"/>
        </w:rPr>
        <w:t>Kingsley O. Nyakagwa</w:t>
      </w:r>
    </w:p>
    <w:p w14:paraId="170A84D2" w14:textId="7651894B" w:rsidR="00375636" w:rsidRPr="00872F9C" w:rsidRDefault="00375636" w:rsidP="00375636">
      <w:pPr>
        <w:jc w:val="center"/>
        <w:rPr>
          <w:rFonts w:cs="Times New Roman"/>
          <w:szCs w:val="24"/>
        </w:rPr>
      </w:pPr>
      <w:bookmarkStart w:id="10" w:name="__RefHeading___Toc523_3372919366"/>
      <w:bookmarkStart w:id="11" w:name="__RefHeading___Toc305_3372919366"/>
      <w:bookmarkEnd w:id="10"/>
      <w:bookmarkEnd w:id="11"/>
      <w:r>
        <w:rPr>
          <w:rFonts w:cs="Times New Roman"/>
          <w:szCs w:val="24"/>
        </w:rPr>
        <w:t>August 15</w:t>
      </w:r>
      <w:r w:rsidRPr="00872F9C">
        <w:rPr>
          <w:rFonts w:cs="Times New Roman"/>
          <w:szCs w:val="24"/>
        </w:rPr>
        <w:t>, 2021</w:t>
      </w:r>
    </w:p>
    <w:bookmarkStart w:id="12" w:name="_Toc79948925" w:displacedByCustomXml="next"/>
    <w:bookmarkStart w:id="13" w:name="_Toc79949000" w:displacedByCustomXml="next"/>
    <w:sdt>
      <w:sdtPr>
        <w:rPr>
          <w:rFonts w:eastAsiaTheme="minorHAnsi" w:cstheme="minorBidi"/>
          <w:b w:val="0"/>
          <w:bCs/>
          <w:color w:val="auto"/>
          <w:szCs w:val="22"/>
        </w:rPr>
        <w:id w:val="-2119129730"/>
        <w:docPartObj>
          <w:docPartGallery w:val="Table of Contents"/>
          <w:docPartUnique/>
        </w:docPartObj>
      </w:sdtPr>
      <w:sdtEndPr>
        <w:rPr>
          <w:rFonts w:cs="Times New Roman"/>
          <w:bCs w:val="0"/>
          <w:noProof/>
          <w:szCs w:val="24"/>
        </w:rPr>
      </w:sdtEndPr>
      <w:sdtContent>
        <w:p w14:paraId="31080985" w14:textId="77777777" w:rsidR="00CC1375" w:rsidRDefault="00DF7AA0" w:rsidP="00CC1375">
          <w:pPr>
            <w:pStyle w:val="Heading1"/>
            <w:spacing w:before="240" w:line="240" w:lineRule="auto"/>
            <w:rPr>
              <w:noProof/>
            </w:rPr>
          </w:pPr>
          <w:r w:rsidRPr="00121953">
            <w:t>Contents</w:t>
          </w:r>
          <w:bookmarkEnd w:id="0"/>
          <w:bookmarkEnd w:id="1"/>
          <w:bookmarkEnd w:id="2"/>
          <w:bookmarkEnd w:id="3"/>
          <w:bookmarkEnd w:id="4"/>
          <w:bookmarkEnd w:id="5"/>
          <w:bookmarkEnd w:id="6"/>
          <w:bookmarkEnd w:id="7"/>
          <w:bookmarkEnd w:id="8"/>
          <w:bookmarkEnd w:id="9"/>
          <w:bookmarkEnd w:id="13"/>
          <w:bookmarkEnd w:id="12"/>
          <w:r w:rsidRPr="00CC1375">
            <w:rPr>
              <w:rFonts w:eastAsia="Century Gothic" w:cs="Times New Roman"/>
            </w:rPr>
            <w:fldChar w:fldCharType="begin"/>
          </w:r>
          <w:r w:rsidRPr="00CC1375">
            <w:rPr>
              <w:rFonts w:cs="Times New Roman"/>
            </w:rPr>
            <w:instrText xml:space="preserve"> TOC \o "1-3" \h \z \u </w:instrText>
          </w:r>
          <w:r w:rsidRPr="00CC1375">
            <w:rPr>
              <w:rFonts w:eastAsia="Century Gothic" w:cs="Times New Roman"/>
            </w:rPr>
            <w:fldChar w:fldCharType="separate"/>
          </w:r>
        </w:p>
        <w:p w14:paraId="77213A66" w14:textId="3658358F"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01" w:history="1">
            <w:r w:rsidR="00CC1375" w:rsidRPr="00CC1375">
              <w:rPr>
                <w:rStyle w:val="Hyperlink"/>
                <w:rFonts w:ascii="Times New Roman" w:hAnsi="Times New Roman" w:cs="Times New Roman"/>
                <w:b/>
                <w:bCs/>
                <w:noProof/>
              </w:rPr>
              <w:t>Introduction</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_Toc79949001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1</w:t>
            </w:r>
            <w:r w:rsidR="00CC1375" w:rsidRPr="00CC1375">
              <w:rPr>
                <w:rFonts w:ascii="Times New Roman" w:hAnsi="Times New Roman" w:cs="Times New Roman"/>
                <w:b/>
                <w:bCs/>
                <w:noProof/>
                <w:webHidden/>
              </w:rPr>
              <w:fldChar w:fldCharType="end"/>
            </w:r>
          </w:hyperlink>
        </w:p>
        <w:p w14:paraId="50CA65D2" w14:textId="70A829AD"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02" w:history="1">
            <w:r w:rsidR="00CC1375" w:rsidRPr="00CC1375">
              <w:rPr>
                <w:rStyle w:val="Hyperlink"/>
                <w:rFonts w:ascii="Times New Roman" w:hAnsi="Times New Roman" w:cs="Times New Roman"/>
                <w:b/>
                <w:bCs/>
                <w:noProof/>
              </w:rPr>
              <w:t>The Context of the Book of Kings</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_Toc79949002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1</w:t>
            </w:r>
            <w:r w:rsidR="00CC1375" w:rsidRPr="00CC1375">
              <w:rPr>
                <w:rFonts w:ascii="Times New Roman" w:hAnsi="Times New Roman" w:cs="Times New Roman"/>
                <w:b/>
                <w:bCs/>
                <w:noProof/>
                <w:webHidden/>
              </w:rPr>
              <w:fldChar w:fldCharType="end"/>
            </w:r>
          </w:hyperlink>
        </w:p>
        <w:p w14:paraId="7FB11269" w14:textId="12506745"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03" w:history="1">
            <w:r w:rsidR="00CC1375" w:rsidRPr="00CC1375">
              <w:rPr>
                <w:rStyle w:val="Hyperlink"/>
                <w:rFonts w:ascii="Times New Roman" w:hAnsi="Times New Roman" w:cs="Times New Roman"/>
                <w:b/>
                <w:bCs/>
                <w:noProof/>
              </w:rPr>
              <w:t>Literary Genre</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_Toc79949003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3</w:t>
            </w:r>
            <w:r w:rsidR="00CC1375" w:rsidRPr="00CC1375">
              <w:rPr>
                <w:rFonts w:ascii="Times New Roman" w:hAnsi="Times New Roman" w:cs="Times New Roman"/>
                <w:b/>
                <w:bCs/>
                <w:noProof/>
                <w:webHidden/>
              </w:rPr>
              <w:fldChar w:fldCharType="end"/>
            </w:r>
          </w:hyperlink>
        </w:p>
        <w:p w14:paraId="471C4047" w14:textId="6C12E5EC"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04" w:history="1">
            <w:r w:rsidR="00CC1375" w:rsidRPr="00CC1375">
              <w:rPr>
                <w:rStyle w:val="Hyperlink"/>
                <w:rFonts w:ascii="Times New Roman" w:hAnsi="Times New Roman" w:cs="Times New Roman"/>
                <w:b/>
                <w:bCs/>
                <w:noProof/>
              </w:rPr>
              <w:t>The Immediate Context of 2 Kings 17-20</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_Toc79949004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3</w:t>
            </w:r>
            <w:r w:rsidR="00CC1375" w:rsidRPr="00CC1375">
              <w:rPr>
                <w:rFonts w:ascii="Times New Roman" w:hAnsi="Times New Roman" w:cs="Times New Roman"/>
                <w:b/>
                <w:bCs/>
                <w:noProof/>
                <w:webHidden/>
              </w:rPr>
              <w:fldChar w:fldCharType="end"/>
            </w:r>
          </w:hyperlink>
        </w:p>
        <w:p w14:paraId="21DAC0A2" w14:textId="5454EF50"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05" w:history="1">
            <w:r w:rsidR="00CC1375" w:rsidRPr="00CC1375">
              <w:rPr>
                <w:rStyle w:val="Hyperlink"/>
                <w:rFonts w:ascii="Times New Roman" w:hAnsi="Times New Roman" w:cs="Times New Roman"/>
                <w:b/>
                <w:bCs/>
                <w:noProof/>
              </w:rPr>
              <w:t>Interpretive Commentary of 2 Kings 17-20</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_Toc79949005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4</w:t>
            </w:r>
            <w:r w:rsidR="00CC1375" w:rsidRPr="00CC1375">
              <w:rPr>
                <w:rFonts w:ascii="Times New Roman" w:hAnsi="Times New Roman" w:cs="Times New Roman"/>
                <w:b/>
                <w:bCs/>
                <w:noProof/>
                <w:webHidden/>
              </w:rPr>
              <w:fldChar w:fldCharType="end"/>
            </w:r>
          </w:hyperlink>
        </w:p>
        <w:p w14:paraId="601CBC59" w14:textId="5581E5D3" w:rsidR="00CC1375" w:rsidRPr="00CC1375" w:rsidRDefault="00DA2AE0" w:rsidP="00CC1375">
          <w:pPr>
            <w:pStyle w:val="TOC2"/>
            <w:spacing w:before="281" w:line="240" w:lineRule="auto"/>
            <w:rPr>
              <w:rFonts w:eastAsiaTheme="minorEastAsia" w:cs="Times New Roman"/>
              <w:noProof/>
              <w:sz w:val="22"/>
            </w:rPr>
          </w:pPr>
          <w:hyperlink w:anchor="_Toc79949006" w:history="1">
            <w:r w:rsidR="00CC1375" w:rsidRPr="00CC1375">
              <w:rPr>
                <w:rStyle w:val="Hyperlink"/>
                <w:rFonts w:cs="Times New Roman"/>
                <w:noProof/>
              </w:rPr>
              <w:t>The Fall</w:t>
            </w:r>
            <w:r w:rsidR="00CC1375" w:rsidRPr="00CC1375">
              <w:rPr>
                <w:rFonts w:cs="Times New Roman"/>
                <w:noProof/>
                <w:webHidden/>
              </w:rPr>
              <w:tab/>
            </w:r>
            <w:r w:rsidR="00CC1375" w:rsidRPr="00CC1375">
              <w:rPr>
                <w:rFonts w:cs="Times New Roman"/>
                <w:noProof/>
                <w:webHidden/>
              </w:rPr>
              <w:fldChar w:fldCharType="begin"/>
            </w:r>
            <w:r w:rsidR="00CC1375" w:rsidRPr="00CC1375">
              <w:rPr>
                <w:rFonts w:cs="Times New Roman"/>
                <w:noProof/>
                <w:webHidden/>
              </w:rPr>
              <w:instrText xml:space="preserve"> PAGEREF _Toc79949006 \h </w:instrText>
            </w:r>
            <w:r w:rsidR="00CC1375" w:rsidRPr="00CC1375">
              <w:rPr>
                <w:rFonts w:cs="Times New Roman"/>
                <w:noProof/>
                <w:webHidden/>
              </w:rPr>
            </w:r>
            <w:r w:rsidR="00CC1375" w:rsidRPr="00CC1375">
              <w:rPr>
                <w:rFonts w:cs="Times New Roman"/>
                <w:noProof/>
                <w:webHidden/>
              </w:rPr>
              <w:fldChar w:fldCharType="separate"/>
            </w:r>
            <w:r w:rsidR="00CC1375" w:rsidRPr="00CC1375">
              <w:rPr>
                <w:rFonts w:cs="Times New Roman"/>
                <w:noProof/>
                <w:webHidden/>
              </w:rPr>
              <w:t>4</w:t>
            </w:r>
            <w:r w:rsidR="00CC1375" w:rsidRPr="00CC1375">
              <w:rPr>
                <w:rFonts w:cs="Times New Roman"/>
                <w:noProof/>
                <w:webHidden/>
              </w:rPr>
              <w:fldChar w:fldCharType="end"/>
            </w:r>
          </w:hyperlink>
        </w:p>
        <w:p w14:paraId="497296B2" w14:textId="58711443" w:rsidR="00CC1375" w:rsidRPr="00CC1375" w:rsidRDefault="00DA2AE0" w:rsidP="00CC1375">
          <w:pPr>
            <w:pStyle w:val="TOC2"/>
            <w:spacing w:before="281" w:line="240" w:lineRule="auto"/>
            <w:rPr>
              <w:rFonts w:eastAsiaTheme="minorEastAsia" w:cs="Times New Roman"/>
              <w:noProof/>
              <w:sz w:val="22"/>
            </w:rPr>
          </w:pPr>
          <w:hyperlink w:anchor="_Toc79949007" w:history="1">
            <w:r w:rsidR="00CC1375" w:rsidRPr="00CC1375">
              <w:rPr>
                <w:rStyle w:val="Hyperlink"/>
                <w:rFonts w:cs="Times New Roman"/>
                <w:noProof/>
              </w:rPr>
              <w:t>Theological Interpretation of the Fall</w:t>
            </w:r>
            <w:r w:rsidR="00CC1375" w:rsidRPr="00CC1375">
              <w:rPr>
                <w:rFonts w:cs="Times New Roman"/>
                <w:noProof/>
                <w:webHidden/>
              </w:rPr>
              <w:tab/>
            </w:r>
            <w:r w:rsidR="00CC1375" w:rsidRPr="00CC1375">
              <w:rPr>
                <w:rFonts w:cs="Times New Roman"/>
                <w:noProof/>
                <w:webHidden/>
              </w:rPr>
              <w:fldChar w:fldCharType="begin"/>
            </w:r>
            <w:r w:rsidR="00CC1375" w:rsidRPr="00CC1375">
              <w:rPr>
                <w:rFonts w:cs="Times New Roman"/>
                <w:noProof/>
                <w:webHidden/>
              </w:rPr>
              <w:instrText xml:space="preserve"> PAGEREF _Toc79949007 \h </w:instrText>
            </w:r>
            <w:r w:rsidR="00CC1375" w:rsidRPr="00CC1375">
              <w:rPr>
                <w:rFonts w:cs="Times New Roman"/>
                <w:noProof/>
                <w:webHidden/>
              </w:rPr>
            </w:r>
            <w:r w:rsidR="00CC1375" w:rsidRPr="00CC1375">
              <w:rPr>
                <w:rFonts w:cs="Times New Roman"/>
                <w:noProof/>
                <w:webHidden/>
              </w:rPr>
              <w:fldChar w:fldCharType="separate"/>
            </w:r>
            <w:r w:rsidR="00CC1375" w:rsidRPr="00CC1375">
              <w:rPr>
                <w:rFonts w:cs="Times New Roman"/>
                <w:noProof/>
                <w:webHidden/>
              </w:rPr>
              <w:t>5</w:t>
            </w:r>
            <w:r w:rsidR="00CC1375" w:rsidRPr="00CC1375">
              <w:rPr>
                <w:rFonts w:cs="Times New Roman"/>
                <w:noProof/>
                <w:webHidden/>
              </w:rPr>
              <w:fldChar w:fldCharType="end"/>
            </w:r>
          </w:hyperlink>
        </w:p>
        <w:p w14:paraId="4C0C07E0" w14:textId="580351B8" w:rsidR="00CC1375" w:rsidRPr="00CC1375" w:rsidRDefault="00DA2AE0" w:rsidP="00CC1375">
          <w:pPr>
            <w:pStyle w:val="TOC2"/>
            <w:spacing w:before="281" w:line="240" w:lineRule="auto"/>
            <w:rPr>
              <w:rFonts w:eastAsiaTheme="minorEastAsia" w:cs="Times New Roman"/>
              <w:noProof/>
              <w:sz w:val="22"/>
            </w:rPr>
          </w:pPr>
          <w:hyperlink w:anchor="_Toc79949008" w:history="1">
            <w:r w:rsidR="00CC1375" w:rsidRPr="00CC1375">
              <w:rPr>
                <w:rStyle w:val="Hyperlink"/>
                <w:rFonts w:cs="Times New Roman"/>
                <w:noProof/>
              </w:rPr>
              <w:t>Resettlement in Samaria (2 Kings 17:24-41)</w:t>
            </w:r>
            <w:r w:rsidR="00CC1375" w:rsidRPr="00CC1375">
              <w:rPr>
                <w:rFonts w:cs="Times New Roman"/>
                <w:noProof/>
                <w:webHidden/>
              </w:rPr>
              <w:tab/>
            </w:r>
            <w:r w:rsidR="00CC1375" w:rsidRPr="00CC1375">
              <w:rPr>
                <w:rFonts w:cs="Times New Roman"/>
                <w:noProof/>
                <w:webHidden/>
              </w:rPr>
              <w:fldChar w:fldCharType="begin"/>
            </w:r>
            <w:r w:rsidR="00CC1375" w:rsidRPr="00CC1375">
              <w:rPr>
                <w:rFonts w:cs="Times New Roman"/>
                <w:noProof/>
                <w:webHidden/>
              </w:rPr>
              <w:instrText xml:space="preserve"> PAGEREF _Toc79949008 \h </w:instrText>
            </w:r>
            <w:r w:rsidR="00CC1375" w:rsidRPr="00CC1375">
              <w:rPr>
                <w:rFonts w:cs="Times New Roman"/>
                <w:noProof/>
                <w:webHidden/>
              </w:rPr>
            </w:r>
            <w:r w:rsidR="00CC1375" w:rsidRPr="00CC1375">
              <w:rPr>
                <w:rFonts w:cs="Times New Roman"/>
                <w:noProof/>
                <w:webHidden/>
              </w:rPr>
              <w:fldChar w:fldCharType="separate"/>
            </w:r>
            <w:r w:rsidR="00CC1375" w:rsidRPr="00CC1375">
              <w:rPr>
                <w:rFonts w:cs="Times New Roman"/>
                <w:noProof/>
                <w:webHidden/>
              </w:rPr>
              <w:t>7</w:t>
            </w:r>
            <w:r w:rsidR="00CC1375" w:rsidRPr="00CC1375">
              <w:rPr>
                <w:rFonts w:cs="Times New Roman"/>
                <w:noProof/>
                <w:webHidden/>
              </w:rPr>
              <w:fldChar w:fldCharType="end"/>
            </w:r>
          </w:hyperlink>
        </w:p>
        <w:p w14:paraId="0496F4B8" w14:textId="424BA4E9" w:rsidR="00CC1375" w:rsidRPr="00CC1375" w:rsidRDefault="00DA2AE0" w:rsidP="00CC1375">
          <w:pPr>
            <w:pStyle w:val="TOC2"/>
            <w:spacing w:before="281" w:line="240" w:lineRule="auto"/>
            <w:rPr>
              <w:rFonts w:eastAsiaTheme="minorEastAsia" w:cs="Times New Roman"/>
              <w:noProof/>
              <w:sz w:val="22"/>
            </w:rPr>
          </w:pPr>
          <w:hyperlink w:anchor="_Toc79949009" w:history="1">
            <w:r w:rsidR="00CC1375" w:rsidRPr="00CC1375">
              <w:rPr>
                <w:rStyle w:val="Hyperlink"/>
                <w:rFonts w:cs="Times New Roman"/>
                <w:noProof/>
              </w:rPr>
              <w:t>Hezekiah’s Reforms in Judah</w:t>
            </w:r>
            <w:r w:rsidR="00CC1375" w:rsidRPr="00CC1375">
              <w:rPr>
                <w:rFonts w:cs="Times New Roman"/>
                <w:noProof/>
                <w:webHidden/>
              </w:rPr>
              <w:tab/>
            </w:r>
            <w:r w:rsidR="00CC1375" w:rsidRPr="00CC1375">
              <w:rPr>
                <w:rFonts w:cs="Times New Roman"/>
                <w:noProof/>
                <w:webHidden/>
              </w:rPr>
              <w:fldChar w:fldCharType="begin"/>
            </w:r>
            <w:r w:rsidR="00CC1375" w:rsidRPr="00CC1375">
              <w:rPr>
                <w:rFonts w:cs="Times New Roman"/>
                <w:noProof/>
                <w:webHidden/>
              </w:rPr>
              <w:instrText xml:space="preserve"> PAGEREF _Toc79949009 \h </w:instrText>
            </w:r>
            <w:r w:rsidR="00CC1375" w:rsidRPr="00CC1375">
              <w:rPr>
                <w:rFonts w:cs="Times New Roman"/>
                <w:noProof/>
                <w:webHidden/>
              </w:rPr>
            </w:r>
            <w:r w:rsidR="00CC1375" w:rsidRPr="00CC1375">
              <w:rPr>
                <w:rFonts w:cs="Times New Roman"/>
                <w:noProof/>
                <w:webHidden/>
              </w:rPr>
              <w:fldChar w:fldCharType="separate"/>
            </w:r>
            <w:r w:rsidR="00CC1375" w:rsidRPr="00CC1375">
              <w:rPr>
                <w:rFonts w:cs="Times New Roman"/>
                <w:noProof/>
                <w:webHidden/>
              </w:rPr>
              <w:t>7</w:t>
            </w:r>
            <w:r w:rsidR="00CC1375" w:rsidRPr="00CC1375">
              <w:rPr>
                <w:rFonts w:cs="Times New Roman"/>
                <w:noProof/>
                <w:webHidden/>
              </w:rPr>
              <w:fldChar w:fldCharType="end"/>
            </w:r>
          </w:hyperlink>
        </w:p>
        <w:p w14:paraId="2E36F03E" w14:textId="2909D994" w:rsidR="00CC1375" w:rsidRPr="00CC1375" w:rsidRDefault="00DA2AE0" w:rsidP="00CC1375">
          <w:pPr>
            <w:pStyle w:val="TOC2"/>
            <w:spacing w:before="281" w:line="240" w:lineRule="auto"/>
            <w:rPr>
              <w:rFonts w:eastAsiaTheme="minorEastAsia" w:cs="Times New Roman"/>
              <w:noProof/>
              <w:sz w:val="22"/>
            </w:rPr>
          </w:pPr>
          <w:hyperlink w:anchor="_Toc79949010" w:history="1">
            <w:r w:rsidR="00CC1375" w:rsidRPr="00CC1375">
              <w:rPr>
                <w:rStyle w:val="Hyperlink"/>
                <w:rFonts w:cs="Times New Roman"/>
                <w:noProof/>
              </w:rPr>
              <w:t>Theological implication of Hezekiah’s life,</w:t>
            </w:r>
            <w:r w:rsidR="00CC1375" w:rsidRPr="00CC1375">
              <w:rPr>
                <w:rFonts w:cs="Times New Roman"/>
                <w:noProof/>
                <w:webHidden/>
              </w:rPr>
              <w:tab/>
            </w:r>
            <w:r w:rsidR="00CC1375" w:rsidRPr="00CC1375">
              <w:rPr>
                <w:rFonts w:cs="Times New Roman"/>
                <w:noProof/>
                <w:webHidden/>
              </w:rPr>
              <w:fldChar w:fldCharType="begin"/>
            </w:r>
            <w:r w:rsidR="00CC1375" w:rsidRPr="00CC1375">
              <w:rPr>
                <w:rFonts w:cs="Times New Roman"/>
                <w:noProof/>
                <w:webHidden/>
              </w:rPr>
              <w:instrText xml:space="preserve"> PAGEREF _Toc79949010 \h </w:instrText>
            </w:r>
            <w:r w:rsidR="00CC1375" w:rsidRPr="00CC1375">
              <w:rPr>
                <w:rFonts w:cs="Times New Roman"/>
                <w:noProof/>
                <w:webHidden/>
              </w:rPr>
            </w:r>
            <w:r w:rsidR="00CC1375" w:rsidRPr="00CC1375">
              <w:rPr>
                <w:rFonts w:cs="Times New Roman"/>
                <w:noProof/>
                <w:webHidden/>
              </w:rPr>
              <w:fldChar w:fldCharType="separate"/>
            </w:r>
            <w:r w:rsidR="00CC1375" w:rsidRPr="00CC1375">
              <w:rPr>
                <w:rFonts w:cs="Times New Roman"/>
                <w:noProof/>
                <w:webHidden/>
              </w:rPr>
              <w:t>10</w:t>
            </w:r>
            <w:r w:rsidR="00CC1375" w:rsidRPr="00CC1375">
              <w:rPr>
                <w:rFonts w:cs="Times New Roman"/>
                <w:noProof/>
                <w:webHidden/>
              </w:rPr>
              <w:fldChar w:fldCharType="end"/>
            </w:r>
          </w:hyperlink>
        </w:p>
        <w:p w14:paraId="0CAB333F" w14:textId="7F5FEE15"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11" w:history="1">
            <w:r w:rsidR="00CC1375" w:rsidRPr="00CC1375">
              <w:rPr>
                <w:rStyle w:val="Hyperlink"/>
                <w:rFonts w:ascii="Times New Roman" w:hAnsi="Times New Roman" w:cs="Times New Roman"/>
                <w:b/>
                <w:bCs/>
                <w:noProof/>
              </w:rPr>
              <w:t>Conclusion.</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_Toc79949011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10</w:t>
            </w:r>
            <w:r w:rsidR="00CC1375" w:rsidRPr="00CC1375">
              <w:rPr>
                <w:rFonts w:ascii="Times New Roman" w:hAnsi="Times New Roman" w:cs="Times New Roman"/>
                <w:b/>
                <w:bCs/>
                <w:noProof/>
                <w:webHidden/>
              </w:rPr>
              <w:fldChar w:fldCharType="end"/>
            </w:r>
          </w:hyperlink>
        </w:p>
        <w:p w14:paraId="1ED9BE9F" w14:textId="49D8D7D2" w:rsidR="00CC1375" w:rsidRPr="00CC1375" w:rsidRDefault="00DA2AE0" w:rsidP="00CC1375">
          <w:pPr>
            <w:pStyle w:val="TOC1"/>
            <w:tabs>
              <w:tab w:val="right" w:leader="dot" w:pos="9350"/>
            </w:tabs>
            <w:rPr>
              <w:rFonts w:ascii="Times New Roman" w:eastAsiaTheme="minorEastAsia" w:hAnsi="Times New Roman" w:cs="Times New Roman"/>
              <w:b/>
              <w:bCs/>
              <w:noProof/>
              <w:sz w:val="22"/>
              <w:szCs w:val="22"/>
            </w:rPr>
          </w:pPr>
          <w:hyperlink w:anchor="_Toc79949012" w:history="1">
            <w:r w:rsidR="00CC1375" w:rsidRPr="00CC1375">
              <w:rPr>
                <w:rStyle w:val="Hyperlink"/>
                <w:rFonts w:ascii="Times New Roman" w:hAnsi="Times New Roman" w:cs="Times New Roman"/>
                <w:b/>
                <w:bCs/>
                <w:noProof/>
              </w:rPr>
              <w:t>Bibliography</w:t>
            </w:r>
            <w:r w:rsidR="00CC1375" w:rsidRPr="00CC1375">
              <w:rPr>
                <w:rFonts w:ascii="Times New Roman" w:hAnsi="Times New Roman" w:cs="Times New Roman"/>
                <w:b/>
                <w:bCs/>
                <w:noProof/>
                <w:webHidden/>
              </w:rPr>
              <w:tab/>
            </w:r>
            <w:r w:rsidR="00CC1375" w:rsidRPr="00CC1375">
              <w:rPr>
                <w:rFonts w:ascii="Times New Roman" w:hAnsi="Times New Roman" w:cs="Times New Roman"/>
                <w:b/>
                <w:bCs/>
                <w:noProof/>
                <w:webHidden/>
              </w:rPr>
              <w:fldChar w:fldCharType="begin"/>
            </w:r>
            <w:r w:rsidR="00CC1375" w:rsidRPr="00CC1375">
              <w:rPr>
                <w:rFonts w:ascii="Times New Roman" w:hAnsi="Times New Roman" w:cs="Times New Roman"/>
                <w:b/>
                <w:bCs/>
                <w:noProof/>
                <w:webHidden/>
              </w:rPr>
              <w:instrText xml:space="preserve"> PAGEREF _Toc79949012 \h </w:instrText>
            </w:r>
            <w:r w:rsidR="00CC1375" w:rsidRPr="00CC1375">
              <w:rPr>
                <w:rFonts w:ascii="Times New Roman" w:hAnsi="Times New Roman" w:cs="Times New Roman"/>
                <w:b/>
                <w:bCs/>
                <w:noProof/>
                <w:webHidden/>
              </w:rPr>
            </w:r>
            <w:r w:rsidR="00CC1375" w:rsidRPr="00CC1375">
              <w:rPr>
                <w:rFonts w:ascii="Times New Roman" w:hAnsi="Times New Roman" w:cs="Times New Roman"/>
                <w:b/>
                <w:bCs/>
                <w:noProof/>
                <w:webHidden/>
              </w:rPr>
              <w:fldChar w:fldCharType="separate"/>
            </w:r>
            <w:r w:rsidR="00CC1375" w:rsidRPr="00CC1375">
              <w:rPr>
                <w:rFonts w:ascii="Times New Roman" w:hAnsi="Times New Roman" w:cs="Times New Roman"/>
                <w:b/>
                <w:bCs/>
                <w:noProof/>
                <w:webHidden/>
              </w:rPr>
              <w:t>11</w:t>
            </w:r>
            <w:r w:rsidR="00CC1375" w:rsidRPr="00CC1375">
              <w:rPr>
                <w:rFonts w:ascii="Times New Roman" w:hAnsi="Times New Roman" w:cs="Times New Roman"/>
                <w:b/>
                <w:bCs/>
                <w:noProof/>
                <w:webHidden/>
              </w:rPr>
              <w:fldChar w:fldCharType="end"/>
            </w:r>
          </w:hyperlink>
        </w:p>
        <w:p w14:paraId="077F3532" w14:textId="6129C11A" w:rsidR="00DF7AA0" w:rsidRPr="00CC1375" w:rsidRDefault="00DF7AA0" w:rsidP="00CC1375">
          <w:pPr>
            <w:spacing w:before="240" w:line="240" w:lineRule="auto"/>
            <w:rPr>
              <w:rFonts w:cs="Times New Roman"/>
              <w:szCs w:val="24"/>
            </w:rPr>
            <w:sectPr w:rsidR="00DF7AA0" w:rsidRPr="00CC1375"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CC1375">
            <w:rPr>
              <w:rFonts w:cs="Times New Roman"/>
              <w:b/>
              <w:bCs/>
              <w:noProof/>
              <w:szCs w:val="24"/>
            </w:rPr>
            <w:fldChar w:fldCharType="end"/>
          </w:r>
        </w:p>
      </w:sdtContent>
    </w:sdt>
    <w:p w14:paraId="015BB2EB" w14:textId="13C56D5F" w:rsidR="00F87F92" w:rsidRDefault="00375636" w:rsidP="00140EFC">
      <w:pPr>
        <w:pStyle w:val="Heading1"/>
      </w:pPr>
      <w:bookmarkStart w:id="14" w:name="_Toc79949001"/>
      <w:r w:rsidRPr="00140EFC">
        <w:lastRenderedPageBreak/>
        <w:t>Introduction</w:t>
      </w:r>
      <w:bookmarkEnd w:id="14"/>
      <w:r w:rsidR="00D70FF1">
        <w:t xml:space="preserve"> </w:t>
      </w:r>
    </w:p>
    <w:p w14:paraId="3B72561B" w14:textId="699D9409" w:rsidR="00866B67" w:rsidRDefault="00BD2A59" w:rsidP="00140EFC">
      <w:pPr>
        <w:ind w:firstLine="720"/>
      </w:pPr>
      <w:r>
        <w:t>Kings and queens are far removed from today’s society, yet most people are often dismayed or thrilled by their conduct. In Africa, it is not unusual to see headlines on Television about how a king took another teenager for a wife. Elsewhere, headlines paint a picture of opulence and entertainment by the royal families. In the former scenario, people can think of kings as agents of abuse and dictatorship. In the latter, people think of royal families and their business as pure entertainment. Surprisingly, the book of Kings tends to have opposed extremes as well. The profound Old Testament scholar Terence E. Fretheim while introducing the book of Kings notes, “Readers are treated to rhythms of good and evil, reform and apostasy, peace and violence, and the regular drumbeat of boring summaries of the lives of incompetent kings.”</w:t>
      </w:r>
      <w:r w:rsidRPr="00BD2A59">
        <w:rPr>
          <w:rStyle w:val="FootnoteReference"/>
        </w:rPr>
        <w:t xml:space="preserve"> </w:t>
      </w:r>
      <w:r>
        <w:rPr>
          <w:rStyle w:val="FootnoteReference"/>
        </w:rPr>
        <w:footnoteReference w:id="1"/>
      </w:r>
    </w:p>
    <w:p w14:paraId="1D6E79A5" w14:textId="2DBA0578" w:rsidR="00FD082D" w:rsidRPr="00140EFC" w:rsidRDefault="00BB15E2" w:rsidP="00140EFC">
      <w:pPr>
        <w:pStyle w:val="Heading1"/>
      </w:pPr>
      <w:bookmarkStart w:id="15" w:name="_Toc79949002"/>
      <w:r w:rsidRPr="00140EFC">
        <w:t xml:space="preserve">The </w:t>
      </w:r>
      <w:r w:rsidR="00E25305" w:rsidRPr="00140EFC">
        <w:t xml:space="preserve">Context of the </w:t>
      </w:r>
      <w:r w:rsidRPr="00140EFC">
        <w:t>Book of Kings</w:t>
      </w:r>
      <w:bookmarkEnd w:id="15"/>
    </w:p>
    <w:p w14:paraId="378AB1D6" w14:textId="0082CFCD" w:rsidR="00E712AA" w:rsidRDefault="00E712AA" w:rsidP="00140EFC">
      <w:pPr>
        <w:pStyle w:val="NormalWeb"/>
        <w:spacing w:before="0" w:beforeAutospacing="0" w:after="0" w:afterAutospacing="0" w:line="480" w:lineRule="auto"/>
        <w:ind w:firstLine="720"/>
        <w:rPr>
          <w:color w:val="0E101A"/>
        </w:rPr>
      </w:pPr>
      <w:r>
        <w:rPr>
          <w:color w:val="0E101A"/>
        </w:rPr>
        <w:t>The book of Kings like the name suggests contains the respective histories of the kings of Israel and Judah. Because of its scroll length, Kings is divided into two parts, First and Second Kings. According to Terence E. Fretheim, “The title given this major block of the biblical story is, finally, somewhat misleading. "Kings" leads the reader to believe that royal figures will be the major subject of concern. In some respects, this is true, but, as we shall see, their story is only part of the story of God's people.”</w:t>
      </w:r>
      <w:r>
        <w:rPr>
          <w:rStyle w:val="FootnoteReference"/>
        </w:rPr>
        <w:footnoteReference w:id="2"/>
      </w:r>
    </w:p>
    <w:p w14:paraId="5ED522DA" w14:textId="61CF17C2" w:rsidR="00E712AA" w:rsidRDefault="00E712AA" w:rsidP="00140EFC">
      <w:pPr>
        <w:pStyle w:val="NormalWeb"/>
        <w:spacing w:before="0" w:beforeAutospacing="0" w:after="0" w:afterAutospacing="0" w:line="480" w:lineRule="auto"/>
        <w:ind w:firstLine="720"/>
        <w:rPr>
          <w:color w:val="0E101A"/>
        </w:rPr>
      </w:pPr>
      <w:r>
        <w:rPr>
          <w:color w:val="0E101A"/>
        </w:rPr>
        <w:t>Jewish traditions record that Jeremiah wrote 1&amp;2 Kings between 538 to 561 BC.</w:t>
      </w:r>
      <w:r>
        <w:rPr>
          <w:rStyle w:val="FootnoteReference"/>
        </w:rPr>
        <w:footnoteReference w:id="3"/>
      </w:r>
      <w:r>
        <w:rPr>
          <w:color w:val="0E101A"/>
        </w:rPr>
        <w:t xml:space="preserve"> Apart from these traditions, most contemporary biblical scholarship avers otherwise. Firstly, they doubt </w:t>
      </w:r>
      <w:r>
        <w:rPr>
          <w:color w:val="0E101A"/>
        </w:rPr>
        <w:lastRenderedPageBreak/>
        <w:t>the reliability of these traditions. In particular, Iain W. Provan avers that the book might have been a compilation of narratives from many authors. Provan further notes this explains why there are inconsistencies, repetitions, and variations in style and language.</w:t>
      </w:r>
      <w:r>
        <w:rPr>
          <w:rStyle w:val="FootnoteReference"/>
        </w:rPr>
        <w:footnoteReference w:id="4"/>
      </w:r>
      <w:r>
        <w:rPr>
          <w:color w:val="0E101A"/>
        </w:rPr>
        <w:t> </w:t>
      </w:r>
    </w:p>
    <w:p w14:paraId="31A6E34E" w14:textId="0EF8A6DC" w:rsidR="00E712AA" w:rsidRDefault="00E712AA" w:rsidP="00140EFC">
      <w:pPr>
        <w:pStyle w:val="NormalWeb"/>
        <w:spacing w:before="0" w:beforeAutospacing="0" w:after="0" w:afterAutospacing="0" w:line="480" w:lineRule="auto"/>
        <w:ind w:firstLine="720"/>
        <w:rPr>
          <w:color w:val="0E101A"/>
        </w:rPr>
      </w:pPr>
      <w:r>
        <w:rPr>
          <w:color w:val="0E101A"/>
        </w:rPr>
        <w:t>The book of Kings was written to explain the destruction of Jerusalem to those experiencing exile in Babylon. These exiled remnants had been involved in the apostasy of idolatry and had experienced the devastation of Jerusalem and the deportation to Babylon. They now had to struggle with the realities of captivity and dispersion, to reflect upon what had brought them to such a place, and to wonder about the continuing validity of the divine promises and the possibility of returning to the land.</w:t>
      </w:r>
      <w:r>
        <w:rPr>
          <w:rStyle w:val="FootnoteReference"/>
        </w:rPr>
        <w:footnoteReference w:id="5"/>
      </w:r>
      <w:r>
        <w:rPr>
          <w:color w:val="0E101A"/>
        </w:rPr>
        <w:t> Kings was written for the exiles to teach them the basics of their faith.</w:t>
      </w:r>
    </w:p>
    <w:p w14:paraId="6A6B0691" w14:textId="370FD48B" w:rsidR="00E712AA" w:rsidRDefault="00E712AA" w:rsidP="00140EFC">
      <w:pPr>
        <w:pStyle w:val="NormalWeb"/>
        <w:spacing w:before="0" w:beforeAutospacing="0" w:after="0" w:afterAutospacing="0" w:line="480" w:lineRule="auto"/>
        <w:ind w:firstLine="720"/>
        <w:rPr>
          <w:color w:val="0E101A"/>
        </w:rPr>
      </w:pPr>
      <w:r>
        <w:rPr>
          <w:color w:val="0E101A"/>
        </w:rPr>
        <w:t>Concerning the purpose of the book, renowned scholar and professor of the Old Testament at Liberty University Ed Hindson observes, “The book was written from a political standpoint to tell us who ruled when and who followed him and what happened.”</w:t>
      </w:r>
      <w:r>
        <w:rPr>
          <w:rStyle w:val="FootnoteReference"/>
        </w:rPr>
        <w:footnoteReference w:id="6"/>
      </w:r>
      <w:r>
        <w:rPr>
          <w:color w:val="0E101A"/>
        </w:rPr>
        <w:t> According to Johanna W. H. Van Wijk-Bos, “Kings does not pretend to offer all the detail necessary for a complete historical review but provides the overview the compilers considered necessary for the remnant that remained of Israel after the Babylonian exile to come to an understanding of itself in view of its past and to find a way forward.”</w:t>
      </w:r>
      <w:r>
        <w:rPr>
          <w:rStyle w:val="FootnoteReference"/>
        </w:rPr>
        <w:footnoteReference w:id="7"/>
      </w:r>
      <w:r>
        <w:rPr>
          <w:color w:val="0E101A"/>
        </w:rPr>
        <w:t xml:space="preserve"> Kings was written to give people spiritual insight on whether these kings knew God and whether their obedience or lack of it influenced their reign </w:t>
      </w:r>
      <w:r>
        <w:rPr>
          <w:color w:val="0E101A"/>
        </w:rPr>
        <w:lastRenderedPageBreak/>
        <w:t>and rule.</w:t>
      </w:r>
      <w:r>
        <w:rPr>
          <w:rStyle w:val="FootnoteReference"/>
        </w:rPr>
        <w:footnoteReference w:id="8"/>
      </w:r>
      <w:r>
        <w:rPr>
          <w:color w:val="0E101A"/>
        </w:rPr>
        <w:t> Terence E. Fretheim adds, “So much history is simply passed by in the interest of tracking the relationship of these kings to their God.”</w:t>
      </w:r>
      <w:r>
        <w:rPr>
          <w:rStyle w:val="FootnoteReference"/>
        </w:rPr>
        <w:footnoteReference w:id="9"/>
      </w:r>
    </w:p>
    <w:p w14:paraId="54709FFD" w14:textId="1C9C7E44" w:rsidR="00E712AA" w:rsidRPr="00140EFC" w:rsidRDefault="00E712AA" w:rsidP="00140EFC">
      <w:pPr>
        <w:pStyle w:val="NormalWeb"/>
        <w:spacing w:before="0" w:beforeAutospacing="0" w:after="0" w:afterAutospacing="0" w:line="480" w:lineRule="auto"/>
        <w:ind w:firstLine="720"/>
        <w:rPr>
          <w:color w:val="0E101A"/>
        </w:rPr>
      </w:pPr>
      <w:r>
        <w:rPr>
          <w:color w:val="0E101A"/>
        </w:rPr>
        <w:t>Furthermore, the contemporary biblical scholarship recognizes the book of kings as conforming to the theology and ideology of Deuteronomy, where the terms of the covenant are expressed for the first time. According to the Deuteronomistic code, those who conform to the terms of the covenant are praised, and those who disobey it are inevitably condemned.</w:t>
      </w:r>
      <w:r>
        <w:rPr>
          <w:rStyle w:val="FootnoteReference"/>
        </w:rPr>
        <w:footnoteReference w:id="10"/>
      </w:r>
    </w:p>
    <w:p w14:paraId="7324E925" w14:textId="4780C6C1" w:rsidR="00E12519" w:rsidRDefault="00E12519" w:rsidP="00140EFC">
      <w:pPr>
        <w:pStyle w:val="Heading1"/>
      </w:pPr>
      <w:bookmarkStart w:id="17" w:name="_Toc79949003"/>
      <w:r>
        <w:t>Literary Genre</w:t>
      </w:r>
      <w:bookmarkEnd w:id="17"/>
    </w:p>
    <w:p w14:paraId="1C53D8CD" w14:textId="77777777" w:rsidR="000D116D" w:rsidRDefault="000D116D" w:rsidP="00140EFC">
      <w:pPr>
        <w:pStyle w:val="NormalWeb"/>
        <w:spacing w:before="0" w:beforeAutospacing="0" w:after="0" w:afterAutospacing="0" w:line="480" w:lineRule="auto"/>
        <w:ind w:firstLine="720"/>
        <w:rPr>
          <w:color w:val="0E101A"/>
        </w:rPr>
      </w:pPr>
      <w:r>
        <w:rPr>
          <w:color w:val="0E101A"/>
        </w:rPr>
        <w:t>First and Second Kings’ literary genre can be categorized into two: historiographical literature and didactic literature. As historiographical literature, 1&amp;2 Kings deals with accounts of the past. From reading, one can tell the plot, setting, characters, and viewpoints of the narrator. All these indicate that it is a narrative.</w:t>
      </w:r>
    </w:p>
    <w:p w14:paraId="57B1030B" w14:textId="574E184B" w:rsidR="000D116D" w:rsidRDefault="000D116D" w:rsidP="00140EFC">
      <w:pPr>
        <w:pStyle w:val="NormalWeb"/>
        <w:spacing w:before="0" w:beforeAutospacing="0" w:after="0" w:afterAutospacing="0" w:line="480" w:lineRule="auto"/>
        <w:ind w:firstLine="720"/>
        <w:rPr>
          <w:color w:val="0E101A"/>
        </w:rPr>
      </w:pPr>
      <w:r>
        <w:rPr>
          <w:color w:val="0E101A"/>
        </w:rPr>
        <w:t>As didactic literature, 1&amp;2 Kings seeks to teach its readers several things about God and the ways of God. Though the lessons may not be obvious, readers can draw out important lessons for application. Iain Provan asserts, “The book of Kings tells us about Israel’s past, not so that we should become better informed about it in some abstract, intellectually detached way, but so that we should learn from it (Rom. 15:4; 1 Cor. 10:11).”</w:t>
      </w:r>
      <w:r>
        <w:rPr>
          <w:rStyle w:val="FootnoteReference"/>
        </w:rPr>
        <w:footnoteReference w:id="11"/>
      </w:r>
    </w:p>
    <w:p w14:paraId="3CCEA8C8" w14:textId="77777777" w:rsidR="000D116D" w:rsidRDefault="000D116D" w:rsidP="00140EFC">
      <w:pPr>
        <w:pStyle w:val="Heading1"/>
      </w:pPr>
      <w:bookmarkStart w:id="18" w:name="_Toc79949004"/>
      <w:r>
        <w:t xml:space="preserve">The Immediate </w:t>
      </w:r>
      <w:r w:rsidRPr="000D116D">
        <w:t>Context</w:t>
      </w:r>
      <w:r>
        <w:t xml:space="preserve"> of 2 Kings 17-20</w:t>
      </w:r>
      <w:bookmarkEnd w:id="18"/>
    </w:p>
    <w:p w14:paraId="3255B587" w14:textId="3AA4C468" w:rsidR="000D116D" w:rsidRPr="00140EFC" w:rsidRDefault="000D116D" w:rsidP="00140EFC">
      <w:pPr>
        <w:pStyle w:val="NormalWeb"/>
        <w:spacing w:before="0" w:beforeAutospacing="0" w:after="0" w:afterAutospacing="0" w:line="480" w:lineRule="auto"/>
        <w:ind w:firstLine="720"/>
        <w:rPr>
          <w:color w:val="0E101A"/>
        </w:rPr>
      </w:pPr>
      <w:r>
        <w:rPr>
          <w:color w:val="0E101A"/>
        </w:rPr>
        <w:t xml:space="preserve">Second Kings records the reigns of many kings of Israel and Judah. The biblical record condenses their accomplishments, the political struggles they endured, and the wars they waged. </w:t>
      </w:r>
      <w:r>
        <w:rPr>
          <w:color w:val="0E101A"/>
        </w:rPr>
        <w:lastRenderedPageBreak/>
        <w:t>Clearly, and consistent with 1 Kings, the text compilers were intent on convincing their audience that behavior faithful to the Lord yielded good, but the toleration and/or implementation of polytheism, not surprisingly, led to disaster.</w:t>
      </w:r>
      <w:r>
        <w:rPr>
          <w:rStyle w:val="FootnoteReference"/>
        </w:rPr>
        <w:footnoteReference w:id="12"/>
      </w:r>
      <w:r>
        <w:rPr>
          <w:color w:val="0E101A"/>
        </w:rPr>
        <w:t> Chapter 17 to 20 records the reigns of two kings; one from the north and the other from the south. Notably, chapter 17 presents a turning point in the Northern Kingdom. King Hoshea, like most of his predecessors, fails to heed the terms of the covenant. Like his predecessors, there is not much about him other than that he was not that bad. That said, chapter seventeen is a defining chapter as it describes the fall of the northern kingdom.</w:t>
      </w:r>
    </w:p>
    <w:p w14:paraId="6DCBBD61" w14:textId="3C2D2328" w:rsidR="00737F0A" w:rsidRPr="00737F0A" w:rsidRDefault="00737F0A" w:rsidP="00140EFC">
      <w:pPr>
        <w:pStyle w:val="Heading1"/>
      </w:pPr>
      <w:bookmarkStart w:id="19" w:name="_Toc79949005"/>
      <w:r>
        <w:t>Interpretive Commentary of 2 Kings 17-20</w:t>
      </w:r>
      <w:bookmarkEnd w:id="19"/>
    </w:p>
    <w:p w14:paraId="66CC7F5A" w14:textId="1015E9DC" w:rsidR="007A31B8" w:rsidRDefault="007A31B8" w:rsidP="00CC1375">
      <w:pPr>
        <w:pStyle w:val="Heading2"/>
      </w:pPr>
      <w:bookmarkStart w:id="20" w:name="_Toc79949006"/>
      <w:r>
        <w:t>The Fall</w:t>
      </w:r>
      <w:bookmarkEnd w:id="20"/>
    </w:p>
    <w:p w14:paraId="10DE5B38" w14:textId="01FD5CB4" w:rsidR="00FC26FE" w:rsidRDefault="00FC26FE" w:rsidP="00140EFC">
      <w:pPr>
        <w:pStyle w:val="NormalWeb"/>
        <w:spacing w:before="0" w:beforeAutospacing="0" w:after="0" w:afterAutospacing="0" w:line="480" w:lineRule="auto"/>
        <w:ind w:firstLine="720"/>
        <w:rPr>
          <w:color w:val="0E101A"/>
        </w:rPr>
      </w:pPr>
      <w:r>
        <w:rPr>
          <w:color w:val="0E101A"/>
        </w:rPr>
        <w:t>Chapter 17 begins by introducing a new King; King Hoshea, son of Elah. King Hoshea like his predecessors was a wicked king. Second Kings 15:30 says that he conspired against his immediate predecessor, King Pekah, and assassinated him. The next nine years of his rule were quite evil, but not in comparison to his predecessors (17:2). Donald J. Wiseman notes, “The unusual qualiﬁcation of his ‘evil’ reign as </w:t>
      </w:r>
      <w:r>
        <w:rPr>
          <w:rStyle w:val="Emphasis"/>
          <w:color w:val="0E101A"/>
        </w:rPr>
        <w:t>not like the kings of Israel</w:t>
      </w:r>
      <w:r>
        <w:rPr>
          <w:color w:val="0E101A"/>
        </w:rPr>
        <w:t> cannot be that he had no time for religious matters since others with shorter reigns are condemned in severer terms.”</w:t>
      </w:r>
      <w:r>
        <w:rPr>
          <w:rStyle w:val="FootnoteReference"/>
        </w:rPr>
        <w:footnoteReference w:id="13"/>
      </w:r>
      <w:r>
        <w:rPr>
          <w:color w:val="0E101A"/>
        </w:rPr>
        <w:t xml:space="preserve"> Rather it looks like he might not have inaugurated the wicked practices for which Israel was condemned. That said, there is no clarity on how he sinned against God. Perhaps his weakness was not keeping his word. Besides conspiring against his predecessor, King Hoshea bailed out of an agreement in which he was required to pay tribute to the Assyrian king Shalmaneser. Victor P Hamilton avers, “Hoshea’s sin, apart from the generic condemnation “did </w:t>
      </w:r>
      <w:r>
        <w:rPr>
          <w:color w:val="0E101A"/>
        </w:rPr>
        <w:lastRenderedPageBreak/>
        <w:t>evil,” is that he plays political football. At first, he is a willing vassal of Assyria (v. 3). But then he switches teams, shifting his allegiance to “King So (Tefnakht I) of Egypt, causing the Assyrian king to come and attack Assyria.</w:t>
      </w:r>
      <w:r>
        <w:rPr>
          <w:rStyle w:val="FootnoteReference"/>
        </w:rPr>
        <w:footnoteReference w:id="14"/>
      </w:r>
    </w:p>
    <w:p w14:paraId="3D5E35BB" w14:textId="77777777" w:rsidR="00FC26FE" w:rsidRPr="00140EFC" w:rsidRDefault="00FC26FE" w:rsidP="00CC1375">
      <w:pPr>
        <w:pStyle w:val="Heading2"/>
      </w:pPr>
      <w:bookmarkStart w:id="21" w:name="_Toc79949007"/>
      <w:r w:rsidRPr="00140EFC">
        <w:t>Theological Interpretation of the Fall</w:t>
      </w:r>
      <w:bookmarkEnd w:id="21"/>
    </w:p>
    <w:p w14:paraId="62401E39" w14:textId="77777777" w:rsidR="00FC26FE" w:rsidRDefault="00FC26FE" w:rsidP="00140EFC">
      <w:pPr>
        <w:pStyle w:val="NormalWeb"/>
        <w:spacing w:before="0" w:beforeAutospacing="0" w:after="0" w:afterAutospacing="0" w:line="480" w:lineRule="auto"/>
        <w:ind w:firstLine="720"/>
        <w:rPr>
          <w:color w:val="0E101A"/>
        </w:rPr>
      </w:pPr>
      <w:r>
        <w:rPr>
          <w:color w:val="0E101A"/>
        </w:rPr>
        <w:t>As mentioned earlier, the theological voice of 2 Kings leans heavily on Deuteronomy, that is, obeying God’s commands brings blessings while disobeying them courts disaster and curses. Thus, it does not come as a surprise that the Northern Kingdom, which has repeatedly sinned against her God, comes to a sudden fall in Chapter 17 of Second Kings. God had warned Israelites from Deuteronomy that if they worship other gods, he will hand them over to the neighboring kingdoms as slaves (Deut 8:19-20). Second Kings 17 is a fulfillment of that promise. What God had said was now coming to pass. Because of their disobedience, they were now going to exile.</w:t>
      </w:r>
    </w:p>
    <w:p w14:paraId="50D461FF" w14:textId="08409D6C" w:rsidR="00FC26FE" w:rsidRDefault="00FC26FE" w:rsidP="00140EFC">
      <w:pPr>
        <w:pStyle w:val="NormalWeb"/>
        <w:spacing w:before="0" w:beforeAutospacing="0" w:after="0" w:afterAutospacing="0" w:line="480" w:lineRule="auto"/>
        <w:ind w:firstLine="720"/>
        <w:rPr>
          <w:color w:val="0E101A"/>
        </w:rPr>
      </w:pPr>
      <w:r>
        <w:rPr>
          <w:color w:val="0E101A"/>
        </w:rPr>
        <w:t>Furthermore, the narrator of 2 Kings would want his readers to know in great depth why the Northern Kingdom fell. Thus, he begins by alerting the reader that what follows is an explanation: “All this took place because.”</w:t>
      </w:r>
      <w:r>
        <w:rPr>
          <w:rStyle w:val="FootnoteReference"/>
        </w:rPr>
        <w:footnoteReference w:id="15"/>
      </w:r>
      <w:r>
        <w:rPr>
          <w:color w:val="0E101A"/>
        </w:rPr>
        <w:t> It is no surprise that he dedicates most of the following verses to talk about the sin of Israel. The Northern Kingdom did not come to ruins because of the actions of the kings alone. Though the actions of King Hoshea are what triggered the fall, the kingdom fell because of the corporate sin of Israel. Victor P Hamilton observes, “There is both royal sin and rampant sin in Israel.”</w:t>
      </w:r>
      <w:r>
        <w:rPr>
          <w:rStyle w:val="FootnoteReference"/>
        </w:rPr>
        <w:footnoteReference w:id="16"/>
      </w:r>
      <w:r>
        <w:rPr>
          <w:color w:val="0E101A"/>
        </w:rPr>
        <w:t xml:space="preserve"> Since the days of Solomon, Israel had perpetually disregarded God’s commands. From verses 7 to 23, the narrator highlights how Israel </w:t>
      </w:r>
      <w:r>
        <w:rPr>
          <w:color w:val="0E101A"/>
        </w:rPr>
        <w:lastRenderedPageBreak/>
        <w:t>had committed apostasy. They had abandoned their covenant with God. Though God had told them to worship and serve him alone (Ex. 20:3-5, Deut 6:13), they had veered off and followed practices of the nations the Lord had driven out before them. Terrence Fretheim sheds light and postulates that Israel's sin was initially focused on God's gracious action and not on the giving of the law. Israel's rebellion was first against the grace before it was disobedience of the law.</w:t>
      </w:r>
      <w:r w:rsidRPr="00866B67">
        <w:rPr>
          <w:rStyle w:val="FootnoteReference"/>
        </w:rPr>
        <w:footnoteReference w:id="17"/>
      </w:r>
      <w:r>
        <w:rPr>
          <w:color w:val="0E101A"/>
        </w:rPr>
        <w:t> God had brought the Israelites out of Egypt and into the promised land purely out of His grace. Sadly, the Israelites did not regard it nor keep the first commandment. Instead, they venerated other gods, built high places, and set up pillars and sacred poles. They burned incense and served idols. Despite the Lord’s repeated warnings through the prophets, they rejected their covenant with God, pursued vanity, and imitated the surrounding nations. Furthermore, they worshiped all the hosts of heaven and served Baal and did not depart from sacrificing their children nor practicing fortune-telling and divination. God’s punishment for their unfaithfulness came in the form of removing “them from his presence,” that is, allowing them to be exiled to Assyria.</w:t>
      </w:r>
      <w:r>
        <w:rPr>
          <w:rStyle w:val="FootnoteReference"/>
        </w:rPr>
        <w:footnoteReference w:id="18"/>
      </w:r>
      <w:r>
        <w:rPr>
          <w:color w:val="0E101A"/>
        </w:rPr>
        <w:t> Ironically, he was driving them out of Canaan, a land he had driven out other nations. Indeed, God is no respecter of persons. Whoever sins, must face the consequences.</w:t>
      </w:r>
    </w:p>
    <w:p w14:paraId="33B96335" w14:textId="5E0F8B1E" w:rsidR="00FC26FE" w:rsidRPr="00140EFC" w:rsidRDefault="00FC26FE" w:rsidP="00140EFC">
      <w:pPr>
        <w:pStyle w:val="NormalWeb"/>
        <w:spacing w:before="0" w:beforeAutospacing="0" w:after="0" w:afterAutospacing="0" w:line="480" w:lineRule="auto"/>
        <w:ind w:firstLine="720"/>
        <w:rPr>
          <w:color w:val="0E101A"/>
        </w:rPr>
      </w:pPr>
      <w:r>
        <w:rPr>
          <w:color w:val="0E101A"/>
        </w:rPr>
        <w:t xml:space="preserve">Another perspective is that this is not just a story about Israel and her sin. this is a story about God. Though God hates sins and will not tolerate them, he does not remove himself from the journey. The Israelites were cast out of the promised land and away from the presence of God. Because of their sin, they were alienated from God. Yet despite their apostasy and infidelity, God is continuing in his faithfulness. He has not removed himself from their journey. They have rejected him; He also rejects them. Just as they had not departed from their sins, God </w:t>
      </w:r>
      <w:r>
        <w:rPr>
          <w:color w:val="0E101A"/>
        </w:rPr>
        <w:lastRenderedPageBreak/>
        <w:t>makes them depart from the land. But this he does, only for a little while. And not only so, but he punishes them still as their God.</w:t>
      </w:r>
    </w:p>
    <w:p w14:paraId="6EBDE8C5" w14:textId="0185F32B" w:rsidR="00F02AA4" w:rsidRPr="00CC1375" w:rsidRDefault="00F02AA4" w:rsidP="00CC1375">
      <w:pPr>
        <w:pStyle w:val="Heading2"/>
      </w:pPr>
      <w:bookmarkStart w:id="22" w:name="_Toc79949008"/>
      <w:r w:rsidRPr="00CC1375">
        <w:rPr>
          <w:rStyle w:val="Heading2Char"/>
        </w:rPr>
        <w:t>Resettlement in Samaria (2 Kings 17:24-41</w:t>
      </w:r>
      <w:r w:rsidRPr="00CC1375">
        <w:t>)</w:t>
      </w:r>
      <w:bookmarkEnd w:id="22"/>
    </w:p>
    <w:p w14:paraId="74C4987C" w14:textId="446B1E4A" w:rsidR="008C5CDB" w:rsidRDefault="008C5CDB" w:rsidP="00140EFC">
      <w:pPr>
        <w:pStyle w:val="NormalWeb"/>
        <w:spacing w:before="0" w:beforeAutospacing="0" w:after="0" w:afterAutospacing="0" w:line="480" w:lineRule="auto"/>
        <w:ind w:firstLine="720"/>
        <w:rPr>
          <w:color w:val="0E101A"/>
        </w:rPr>
      </w:pPr>
      <w:r>
        <w:rPr>
          <w:color w:val="0E101A"/>
        </w:rPr>
        <w:t>It is not clear what the king of Assyria was thinking, but his reshuffling of people he had conquered is speculative. Removing the Israelites from their land and settling them in his country, then taking people from Babylon, Kuthah, Avva, Hamath, and Sepharvaim and settling them in Samaria somehow shows that he wanted his subjects to loosen their attachment to their homeland. Sadly, even after the Israelites went to exile, they did not stop the worship of other gods. The fact that the priest sent to teach the settlers in Samaria impressed syncretism on them is telling. God had sent lions as a punishment to the settlers for worshipping other gods (vs. 25). After the priest came, the anticipation was that he would teach them how to worship God alone. Instead, the priest taught them to worship God but did not warn them against worshipping other gods. According to Terrence E. Fretheim, "The priest succeeded in teaching them the same syncretism that Israel practiced before they were exiled."</w:t>
      </w:r>
      <w:r w:rsidR="00140EFC">
        <w:rPr>
          <w:rStyle w:val="FootnoteReference"/>
        </w:rPr>
        <w:footnoteReference w:id="19"/>
      </w:r>
      <w:r>
        <w:rPr>
          <w:color w:val="0E101A"/>
        </w:rPr>
        <w:t> As a result, the people continued to serve their gods and as well as worship the Lord (vs 32).</w:t>
      </w:r>
    </w:p>
    <w:p w14:paraId="351AC84E" w14:textId="77777777" w:rsidR="008C5CDB" w:rsidRDefault="008C5CDB" w:rsidP="00CC1375">
      <w:pPr>
        <w:pStyle w:val="Heading2"/>
      </w:pPr>
      <w:bookmarkStart w:id="23" w:name="_Toc79949009"/>
      <w:r>
        <w:t>Hezekiah’s Reforms in Judah</w:t>
      </w:r>
      <w:bookmarkEnd w:id="23"/>
    </w:p>
    <w:p w14:paraId="5F832A88" w14:textId="3469F5EF" w:rsidR="008C5CDB" w:rsidRDefault="008C5CDB" w:rsidP="00140EFC">
      <w:pPr>
        <w:pStyle w:val="NormalWeb"/>
        <w:spacing w:before="0" w:beforeAutospacing="0" w:after="0" w:afterAutospacing="0" w:line="480" w:lineRule="auto"/>
        <w:ind w:firstLine="720"/>
        <w:rPr>
          <w:color w:val="0E101A"/>
        </w:rPr>
      </w:pPr>
      <w:r>
        <w:rPr>
          <w:color w:val="0E101A"/>
        </w:rPr>
        <w:t>Chapters 18 to 20 describes the life of Hezekiah, his reforms in Judah, the conflicts he had with the king of Assyria, his sickness and healing. Succeeding the wicked king Ahaz, Hezekiah, chooses a different path in which he makes sweeping reforms. Donald J. Wiseman avers, “His motivation for reforms was twofold.”</w:t>
      </w:r>
      <w:r>
        <w:rPr>
          <w:rStyle w:val="FootnoteReference"/>
        </w:rPr>
        <w:footnoteReference w:id="20"/>
      </w:r>
      <w:r>
        <w:rPr>
          <w:color w:val="0E101A"/>
        </w:rPr>
        <w:t xml:space="preserve"> Firstly, he desired to keep Judah united in light of the imminent attack by Assyrians. Secondly, he wanted to restore the old Davidic and </w:t>
      </w:r>
      <w:r>
        <w:rPr>
          <w:color w:val="0E101A"/>
        </w:rPr>
        <w:lastRenderedPageBreak/>
        <w:t>Solomonic kingdom that revered God. To do these two things, King Hezekiah quickly tore down all the sacred places that his predecessors had put up (18:4), rebelled against the king of Assyria, and rallied Judah to defeat the philistines (18:8). Unfortunately, rebelling against Assyria was not a good idea. Sennacherib, king of Assyria took offense and attacked Judah capturing some of her towns (18:13). Humbled, King Hezekiah pleaded for a truce and agreed to pay the required tribute. Since the amount was a lot, he stripped the temple and palace treasures to provide it.</w:t>
      </w:r>
      <w:r w:rsidR="00140EFC">
        <w:rPr>
          <w:rStyle w:val="FootnoteReference"/>
        </w:rPr>
        <w:footnoteReference w:id="21"/>
      </w:r>
    </w:p>
    <w:p w14:paraId="46038736" w14:textId="28569EDA" w:rsidR="008C5CDB" w:rsidRDefault="008C5CDB" w:rsidP="00140EFC">
      <w:pPr>
        <w:pStyle w:val="NormalWeb"/>
        <w:spacing w:before="0" w:beforeAutospacing="0" w:after="0" w:afterAutospacing="0" w:line="480" w:lineRule="auto"/>
        <w:ind w:firstLine="720"/>
        <w:rPr>
          <w:color w:val="0E101A"/>
        </w:rPr>
      </w:pPr>
      <w:r>
        <w:rPr>
          <w:color w:val="0E101A"/>
        </w:rPr>
        <w:t>However, it seems that King Sennacherib was not satisfied with king Hezekiah’s tribute. After capturing some of his towns, he threatened to take over Jerusalem as well. Sending his negotiators, he unleashed deception and psychological warfare on Judah. Not once, but twice. Donald J Wiseman observes, “his argument aimed to undermine the Judeans’ trust, in that (</w:t>
      </w:r>
      <w:proofErr w:type="spellStart"/>
      <w:r>
        <w:rPr>
          <w:color w:val="0E101A"/>
        </w:rPr>
        <w:t>i</w:t>
      </w:r>
      <w:proofErr w:type="spellEnd"/>
      <w:r>
        <w:rPr>
          <w:color w:val="0E101A"/>
        </w:rPr>
        <w:t>) Jerusalem had no military might or skill to resist (vs. 20, 23) (ii) Yahweh could not save Jerusalem, any more than had the gods of cities already taken by the Assyrians (Vs 32-36); (iii) Egypt’s help would be unreliable (Vs 20,21) and (iv) The Assyrian conquest had been sanctioned by God (vs 25).”</w:t>
      </w:r>
      <w:r w:rsidR="00140EFC">
        <w:rPr>
          <w:rStyle w:val="FootnoteReference"/>
        </w:rPr>
        <w:footnoteReference w:id="22"/>
      </w:r>
      <w:r>
        <w:rPr>
          <w:color w:val="0E101A"/>
        </w:rPr>
        <w:t> Terrence Fretheim notes, their argument moves from God's will to God's power to God's integrity.</w:t>
      </w:r>
      <w:r w:rsidR="00140EFC">
        <w:rPr>
          <w:rStyle w:val="FootnoteReference"/>
        </w:rPr>
        <w:footnoteReference w:id="23"/>
      </w:r>
    </w:p>
    <w:p w14:paraId="1066FA5D" w14:textId="77777777" w:rsidR="008C5CDB" w:rsidRDefault="008C5CDB" w:rsidP="00140EFC">
      <w:pPr>
        <w:pStyle w:val="NormalWeb"/>
        <w:spacing w:before="0" w:beforeAutospacing="0" w:after="0" w:afterAutospacing="0" w:line="480" w:lineRule="auto"/>
        <w:ind w:firstLine="720"/>
        <w:rPr>
          <w:color w:val="0E101A"/>
        </w:rPr>
      </w:pPr>
      <w:r>
        <w:rPr>
          <w:color w:val="0E101A"/>
        </w:rPr>
        <w:t xml:space="preserve">Hezekiah’s response is not political or military but of prayer. Where the Assyrians accuse God as a deceiver and liar, he addresses him as trustworthy. Whereas the Assyrians portray God as weak, he addresses God as enthroned between cherubim, the Creator of the heavens and earth (19:16). In the face of his trust in the Lord, God answers his prayers through the prophet Isaiah. The answer came in the form of a poem and revealed God’s intent to bring down Sennacherib </w:t>
      </w:r>
      <w:r>
        <w:rPr>
          <w:color w:val="0E101A"/>
        </w:rPr>
        <w:lastRenderedPageBreak/>
        <w:t>(19:21-34). Verses 35 to 37 describe the Assyrians' retreat and the eventual death of Sennacherib at the hands of his sons.</w:t>
      </w:r>
    </w:p>
    <w:p w14:paraId="3F722214" w14:textId="77777777" w:rsidR="00CC1375" w:rsidRDefault="008C5CDB" w:rsidP="00CC1375">
      <w:pPr>
        <w:pStyle w:val="NormalWeb"/>
        <w:spacing w:before="0" w:beforeAutospacing="0" w:after="0" w:afterAutospacing="0" w:line="480" w:lineRule="auto"/>
        <w:ind w:firstLine="720"/>
        <w:rPr>
          <w:color w:val="0E101A"/>
        </w:rPr>
      </w:pPr>
      <w:r>
        <w:rPr>
          <w:color w:val="0E101A"/>
        </w:rPr>
        <w:t>After King Hezekiah’s great victory over the Assyrians, the story shifts to his illness and subsequent healing. Though the exact chronology of his illness is disputed, some scholars aver that it might have happened quite earlier before the eventual victory over Assyria. The argument is that the narrator puts this story after the conflict with the Assyrians is that he possibly wanted to create a parallel with what happens to the city of Jerusalem (20:6).</w:t>
      </w:r>
      <w:r w:rsidR="00140EFC">
        <w:rPr>
          <w:rStyle w:val="FootnoteReference"/>
        </w:rPr>
        <w:footnoteReference w:id="24"/>
      </w:r>
      <w:r>
        <w:rPr>
          <w:color w:val="0E101A"/>
        </w:rPr>
        <w:t> According to Terrence Fretheim, “it also implies that, just as Hezekiah has only fifteen years to live, Judah too has a limited time left.”</w:t>
      </w:r>
      <w:r w:rsidR="00140EFC">
        <w:rPr>
          <w:rStyle w:val="FootnoteReference"/>
        </w:rPr>
        <w:footnoteReference w:id="25"/>
      </w:r>
    </w:p>
    <w:p w14:paraId="53AA90CC" w14:textId="030705B2" w:rsidR="008C5CDB" w:rsidRDefault="008C5CDB" w:rsidP="00CC1375">
      <w:pPr>
        <w:pStyle w:val="NormalWeb"/>
        <w:spacing w:before="0" w:beforeAutospacing="0" w:after="0" w:afterAutospacing="0" w:line="480" w:lineRule="auto"/>
        <w:ind w:firstLine="720"/>
        <w:rPr>
          <w:color w:val="0E101A"/>
        </w:rPr>
      </w:pPr>
      <w:r>
        <w:rPr>
          <w:color w:val="0E101A"/>
        </w:rPr>
        <w:t>That said, Isaiah comes with a word from the Lord that he will not recover. He should put his house in order. Surprisingly, Hezekiah does not accept the word of prophecy but turns to the wall and pleads to God to have mercy on him because of his faithfulness to him. In response to his prayer, God changes his mind and commands Isaiah to go back and declare that he shall recover by the third day. The message was that God would add him fifteen more years and also deliver his city from the Assyrians for the sake of David.</w:t>
      </w:r>
    </w:p>
    <w:p w14:paraId="5181CC35" w14:textId="77777777" w:rsidR="008C5CDB" w:rsidRDefault="008C5CDB" w:rsidP="00140EFC">
      <w:pPr>
        <w:pStyle w:val="NormalWeb"/>
        <w:spacing w:before="0" w:beforeAutospacing="0" w:after="0" w:afterAutospacing="0" w:line="480" w:lineRule="auto"/>
        <w:ind w:firstLine="720"/>
        <w:rPr>
          <w:color w:val="0E101A"/>
        </w:rPr>
      </w:pPr>
      <w:r>
        <w:rPr>
          <w:color w:val="0E101A"/>
        </w:rPr>
        <w:t>Prophet Isaiah asks him to apply a fig tree (medicine) on the boil, and he recovers. King Hezekiah not convinced with the healing, asks for a vivid sign (the reversal of the shadow). The sign that he asks for is given in terms of a delay in the movement of time. In other words, if God can delay time, he can also delay the time of his death.</w:t>
      </w:r>
    </w:p>
    <w:p w14:paraId="7B83EEE2" w14:textId="77777777" w:rsidR="008C5CDB" w:rsidRDefault="008C5CDB" w:rsidP="00140EFC">
      <w:pPr>
        <w:pStyle w:val="NormalWeb"/>
        <w:spacing w:before="0" w:beforeAutospacing="0" w:after="0" w:afterAutospacing="0" w:line="480" w:lineRule="auto"/>
        <w:ind w:firstLine="720"/>
        <w:rPr>
          <w:color w:val="0E101A"/>
        </w:rPr>
      </w:pPr>
      <w:r>
        <w:rPr>
          <w:color w:val="0E101A"/>
        </w:rPr>
        <w:t xml:space="preserve">Second Kings 20:12-21 explains the encounter of Hezekiah with Babylonian envoys. Though the chronology is disputed, the overarching idea is that it is not yet finished for the </w:t>
      </w:r>
      <w:r>
        <w:rPr>
          <w:color w:val="0E101A"/>
        </w:rPr>
        <w:lastRenderedPageBreak/>
        <w:t>people of Judah. Still, they are not invincible. There still exists some threats to their southern kingdom.</w:t>
      </w:r>
    </w:p>
    <w:p w14:paraId="0F7047F2" w14:textId="77777777" w:rsidR="008C5CDB" w:rsidRDefault="008C5CDB" w:rsidP="00CC1375">
      <w:pPr>
        <w:pStyle w:val="Heading2"/>
      </w:pPr>
      <w:bookmarkStart w:id="24" w:name="_Toc79949010"/>
      <w:r>
        <w:t>Theological implication of Hezekiah’s life,</w:t>
      </w:r>
      <w:bookmarkEnd w:id="24"/>
    </w:p>
    <w:p w14:paraId="6184BB7F" w14:textId="77777777" w:rsidR="008C5CDB" w:rsidRDefault="008C5CDB" w:rsidP="00140EFC">
      <w:pPr>
        <w:pStyle w:val="NormalWeb"/>
        <w:spacing w:before="0" w:beforeAutospacing="0" w:after="0" w:afterAutospacing="0" w:line="480" w:lineRule="auto"/>
        <w:ind w:firstLine="720"/>
        <w:rPr>
          <w:color w:val="0E101A"/>
        </w:rPr>
      </w:pPr>
      <w:r>
        <w:rPr>
          <w:color w:val="0E101A"/>
        </w:rPr>
        <w:t>At the basic level, the narrative of Hezekiah is a story of trust. Isaiah goes through a roller coaster of complications and emotions. All these seem to call God into question. This trust is further questioned by his enemies. Despite all these, God proves himself trustworthy. On another level, Hezekiah’s story is about prayer. The effect that prayer has on God cannot be underestimated. Prayer reversed a prophetic word that God had given Isaiah. Prayer shaped a different future that God himself had not declared. Believers today can pray, bearing in mind that their future is not cast in stone. They can pray to God to change it for the better.</w:t>
      </w:r>
    </w:p>
    <w:p w14:paraId="3C19D3E6" w14:textId="77777777" w:rsidR="008C5CDB" w:rsidRDefault="008C5CDB" w:rsidP="00140EFC">
      <w:pPr>
        <w:pStyle w:val="Heading1"/>
      </w:pPr>
      <w:bookmarkStart w:id="25" w:name="_Toc79949011"/>
      <w:r>
        <w:t>Conclusion.</w:t>
      </w:r>
      <w:bookmarkEnd w:id="25"/>
    </w:p>
    <w:p w14:paraId="45E2F373" w14:textId="77777777" w:rsidR="008C5CDB" w:rsidRDefault="008C5CDB" w:rsidP="00140EFC">
      <w:pPr>
        <w:pStyle w:val="NormalWeb"/>
        <w:spacing w:before="0" w:beforeAutospacing="0" w:after="0" w:afterAutospacing="0" w:line="480" w:lineRule="auto"/>
        <w:ind w:firstLine="720"/>
        <w:rPr>
          <w:color w:val="0E101A"/>
        </w:rPr>
      </w:pPr>
      <w:r>
        <w:rPr>
          <w:color w:val="0E101A"/>
        </w:rPr>
        <w:t>Second Kings 17-20 is a story about God. It is a story that describes God’s relationship with his people. It is a story that describes God’s grace. Holy as he is, though wronged over and over, still he loves his people. He is still thinking good thoughts towards them. In his frame of thought, punishing his people is not so that they can despair. Rather he punishes them to show them that a relationship with him is far much better than with any other god.</w:t>
      </w:r>
    </w:p>
    <w:p w14:paraId="2EA254E6" w14:textId="77777777" w:rsidR="008C5CDB" w:rsidRDefault="008C5CDB" w:rsidP="00140EFC">
      <w:pPr>
        <w:pStyle w:val="NormalWeb"/>
        <w:spacing w:before="0" w:beforeAutospacing="0" w:after="0" w:afterAutospacing="0" w:line="480" w:lineRule="auto"/>
        <w:ind w:firstLine="720"/>
        <w:rPr>
          <w:color w:val="0E101A"/>
        </w:rPr>
      </w:pPr>
      <w:r>
        <w:rPr>
          <w:color w:val="0E101A"/>
        </w:rPr>
        <w:t>Second Kings 17-20 also is a story about God’s people. The people of God do not follow his commands. They are unfaithful to God. However, whenever they call on God in trust and faith, he hears their cries.</w:t>
      </w:r>
    </w:p>
    <w:p w14:paraId="0ACE5FE3" w14:textId="77777777" w:rsidR="008C5CDB" w:rsidRPr="008C5CDB" w:rsidRDefault="008C5CDB" w:rsidP="00140EFC">
      <w:pPr>
        <w:ind w:firstLine="720"/>
      </w:pPr>
    </w:p>
    <w:p w14:paraId="48A71A5E" w14:textId="77777777" w:rsidR="000F3A13" w:rsidRDefault="000F3A13" w:rsidP="00140EFC">
      <w:pPr>
        <w:pStyle w:val="Heading1"/>
      </w:pPr>
      <w:r>
        <w:br w:type="page"/>
      </w:r>
    </w:p>
    <w:p w14:paraId="17ED68D2" w14:textId="2DF5C584" w:rsidR="00375636" w:rsidRPr="00F510C6" w:rsidRDefault="00375636" w:rsidP="00140EFC">
      <w:pPr>
        <w:pStyle w:val="Heading1"/>
        <w:rPr>
          <w:sz w:val="48"/>
        </w:rPr>
      </w:pPr>
      <w:bookmarkStart w:id="26" w:name="_Toc79949012"/>
      <w:r>
        <w:lastRenderedPageBreak/>
        <w:t>Bibliography</w:t>
      </w:r>
      <w:bookmarkEnd w:id="26"/>
    </w:p>
    <w:p w14:paraId="4825BA6C" w14:textId="77777777" w:rsidR="00866B67" w:rsidRPr="00121953" w:rsidRDefault="00866B67" w:rsidP="00FB6365">
      <w:pPr>
        <w:spacing w:line="240" w:lineRule="auto"/>
        <w:ind w:left="720" w:hanging="720"/>
        <w:rPr>
          <w:rFonts w:cs="Times New Roman"/>
          <w:szCs w:val="24"/>
        </w:rPr>
      </w:pPr>
    </w:p>
    <w:p w14:paraId="6A6DAB2E" w14:textId="77777777" w:rsidR="00866B67" w:rsidRDefault="00866B67" w:rsidP="00375636">
      <w:pPr>
        <w:spacing w:after="240" w:line="240" w:lineRule="auto"/>
        <w:ind w:left="720" w:hanging="720"/>
      </w:pPr>
      <w:r w:rsidRPr="00BC0700">
        <w:t>Conti, Marco</w:t>
      </w:r>
      <w:r>
        <w:t xml:space="preserve"> and</w:t>
      </w:r>
      <w:r w:rsidRPr="009B2FC8">
        <w:t xml:space="preserve"> Thomas C. Oden</w:t>
      </w:r>
      <w:r w:rsidRPr="00BC0700">
        <w:t xml:space="preserve">. </w:t>
      </w:r>
      <w:r w:rsidRPr="00BC0700">
        <w:rPr>
          <w:i/>
          <w:iCs/>
        </w:rPr>
        <w:t>1-2 Kings, 1-2 Chronicles, Ezra, Nehemiah, Esther</w:t>
      </w:r>
      <w:r w:rsidRPr="00BC0700">
        <w:t>. Illinois: InterVarsity Press, 2008.</w:t>
      </w:r>
    </w:p>
    <w:p w14:paraId="0C4CFDC6" w14:textId="77777777" w:rsidR="00866B67" w:rsidRDefault="00866B67" w:rsidP="00375636">
      <w:pPr>
        <w:spacing w:after="240" w:line="240" w:lineRule="auto"/>
        <w:ind w:left="720" w:hanging="720"/>
      </w:pPr>
      <w:r w:rsidRPr="00EB5026">
        <w:t>Ed Hindson, “1 &amp; 2 Kings” (Course video in OBST 515 at Liberty University, Lynchburg, VA, August 10, 2021).</w:t>
      </w:r>
    </w:p>
    <w:p w14:paraId="00B0444A" w14:textId="77777777" w:rsidR="00866B67" w:rsidRDefault="00866B67" w:rsidP="00375636">
      <w:pPr>
        <w:spacing w:after="240" w:line="240" w:lineRule="auto"/>
        <w:ind w:left="720" w:hanging="720"/>
      </w:pPr>
      <w:r w:rsidRPr="0083469D">
        <w:t>Fretheim</w:t>
      </w:r>
      <w:r>
        <w:t>,</w:t>
      </w:r>
      <w:r w:rsidRPr="0083469D">
        <w:t xml:space="preserve"> TE. </w:t>
      </w:r>
      <w:r w:rsidRPr="00E33CCE">
        <w:rPr>
          <w:i/>
          <w:iCs/>
        </w:rPr>
        <w:t>First and Second Kings</w:t>
      </w:r>
      <w:r w:rsidRPr="0083469D">
        <w:t>. Vol 1st ed. Westminster</w:t>
      </w:r>
      <w:r>
        <w:t xml:space="preserve">: </w:t>
      </w:r>
      <w:r w:rsidRPr="0083469D">
        <w:t>John Knox Press; 1999.</w:t>
      </w:r>
    </w:p>
    <w:p w14:paraId="05387692" w14:textId="77777777" w:rsidR="00866B67" w:rsidRDefault="00866B67" w:rsidP="00375636">
      <w:pPr>
        <w:spacing w:line="240" w:lineRule="auto"/>
        <w:ind w:left="720" w:hanging="720"/>
      </w:pPr>
      <w:r w:rsidRPr="00737F0A">
        <w:t xml:space="preserve">Hamilton, Victor P. </w:t>
      </w:r>
      <w:r w:rsidRPr="00737F0A">
        <w:rPr>
          <w:i/>
          <w:iCs/>
        </w:rPr>
        <w:t>Handbook on the Historical Books</w:t>
      </w:r>
      <w:r w:rsidRPr="00737F0A">
        <w:t>. Grand Rapids, MI: Baker Publishing</w:t>
      </w:r>
      <w:r>
        <w:t>, 2001.</w:t>
      </w:r>
    </w:p>
    <w:p w14:paraId="62296E8B" w14:textId="77777777" w:rsidR="00866B67" w:rsidRDefault="00866B67" w:rsidP="00375636">
      <w:pPr>
        <w:spacing w:after="240" w:line="240" w:lineRule="auto"/>
        <w:ind w:left="720" w:hanging="720"/>
      </w:pPr>
      <w:r w:rsidRPr="00BC0700">
        <w:t xml:space="preserve">Laffey, Alice L.. </w:t>
      </w:r>
      <w:r w:rsidRPr="00D30064">
        <w:rPr>
          <w:i/>
          <w:iCs/>
        </w:rPr>
        <w:t>First and Second Kings: Volume 9.</w:t>
      </w:r>
      <w:r w:rsidRPr="00BC0700">
        <w:t xml:space="preserve"> Collegeville, MN: Liturgical Press, 2012.</w:t>
      </w:r>
    </w:p>
    <w:p w14:paraId="338C0C7E" w14:textId="77777777" w:rsidR="00866B67" w:rsidRDefault="00866B67" w:rsidP="00375636">
      <w:pPr>
        <w:spacing w:after="240" w:line="240" w:lineRule="auto"/>
        <w:ind w:left="720" w:hanging="720"/>
      </w:pPr>
      <w:r w:rsidRPr="00AC5849">
        <w:t xml:space="preserve">Provan, Iain W.. </w:t>
      </w:r>
      <w:r w:rsidRPr="00AC5849">
        <w:rPr>
          <w:i/>
          <w:iCs/>
        </w:rPr>
        <w:t>1 and 2 Kings.</w:t>
      </w:r>
      <w:r w:rsidRPr="00AC5849">
        <w:t xml:space="preserve"> Grand Rapids: Baker Books, 1993</w:t>
      </w:r>
      <w:r>
        <w:t>.</w:t>
      </w:r>
    </w:p>
    <w:p w14:paraId="5C6EFDE9" w14:textId="77777777" w:rsidR="00866B67" w:rsidRDefault="00866B67" w:rsidP="00375636">
      <w:pPr>
        <w:spacing w:after="240" w:line="240" w:lineRule="auto"/>
        <w:ind w:left="720" w:hanging="720"/>
      </w:pPr>
      <w:r>
        <w:t>V</w:t>
      </w:r>
      <w:r w:rsidRPr="0083469D">
        <w:t xml:space="preserve">an Wijk-Bos, Johanna W. H.. </w:t>
      </w:r>
      <w:r w:rsidRPr="0083469D">
        <w:rPr>
          <w:i/>
          <w:iCs/>
        </w:rPr>
        <w:t>The Land and Its Kings: 1-2 Kings</w:t>
      </w:r>
      <w:r w:rsidRPr="0083469D">
        <w:t>. Grand Rapids: William B. Eerdmans Publishing Company, 2020.</w:t>
      </w:r>
    </w:p>
    <w:p w14:paraId="290FAC49" w14:textId="77777777" w:rsidR="00866B67" w:rsidRDefault="00866B67" w:rsidP="00375636">
      <w:pPr>
        <w:spacing w:after="240" w:line="240" w:lineRule="auto"/>
        <w:ind w:left="720" w:hanging="720"/>
      </w:pPr>
      <w:r w:rsidRPr="00142686">
        <w:t xml:space="preserve">Wiseman, Donald J.. </w:t>
      </w:r>
      <w:r w:rsidRPr="00AC5849">
        <w:rPr>
          <w:i/>
          <w:iCs/>
        </w:rPr>
        <w:t>1 and 2 Kings.</w:t>
      </w:r>
      <w:r w:rsidRPr="00142686">
        <w:t xml:space="preserve"> Illinois: InterVarsity Press, 2008.</w:t>
      </w:r>
    </w:p>
    <w:p w14:paraId="595141C9" w14:textId="1461193C" w:rsidR="00866B67" w:rsidRDefault="00866B67" w:rsidP="00375636">
      <w:pPr>
        <w:spacing w:after="240" w:line="240" w:lineRule="auto"/>
        <w:ind w:left="720" w:hanging="720"/>
      </w:pPr>
    </w:p>
    <w:sectPr w:rsidR="00866B67"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DE992" w14:textId="77777777" w:rsidR="00DA2AE0" w:rsidRDefault="00DA2AE0" w:rsidP="00DF7AA0">
      <w:pPr>
        <w:spacing w:line="240" w:lineRule="auto"/>
      </w:pPr>
      <w:r>
        <w:separator/>
      </w:r>
    </w:p>
  </w:endnote>
  <w:endnote w:type="continuationSeparator" w:id="0">
    <w:p w14:paraId="5DCB4464" w14:textId="77777777" w:rsidR="00DA2AE0" w:rsidRDefault="00DA2AE0"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DA2AE0"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DBFE4" w14:textId="77777777" w:rsidR="00DA2AE0" w:rsidRDefault="00DA2AE0" w:rsidP="00DF7AA0">
      <w:pPr>
        <w:spacing w:line="240" w:lineRule="auto"/>
      </w:pPr>
      <w:r>
        <w:separator/>
      </w:r>
    </w:p>
  </w:footnote>
  <w:footnote w:type="continuationSeparator" w:id="0">
    <w:p w14:paraId="16C7D15C" w14:textId="77777777" w:rsidR="00DA2AE0" w:rsidRDefault="00DA2AE0" w:rsidP="00DF7AA0">
      <w:pPr>
        <w:spacing w:line="240" w:lineRule="auto"/>
      </w:pPr>
      <w:r>
        <w:continuationSeparator/>
      </w:r>
    </w:p>
  </w:footnote>
  <w:footnote w:id="1">
    <w:p w14:paraId="78C866E2" w14:textId="77777777" w:rsidR="00BD2A59" w:rsidRDefault="00BD2A59" w:rsidP="00BD2A59">
      <w:pPr>
        <w:pStyle w:val="FootnoteText"/>
      </w:pPr>
      <w:r>
        <w:rPr>
          <w:rStyle w:val="FootnoteReference"/>
        </w:rPr>
        <w:footnoteRef/>
      </w:r>
      <w:r>
        <w:t xml:space="preserve"> </w:t>
      </w:r>
      <w:r w:rsidRPr="00B967C5">
        <w:t>Terence E. Fretheim</w:t>
      </w:r>
      <w:r w:rsidRPr="00B967C5">
        <w:rPr>
          <w:i/>
          <w:iCs/>
        </w:rPr>
        <w:t>, First and Second Kings</w:t>
      </w:r>
      <w:r w:rsidRPr="00B967C5">
        <w:t>. Vol 1st ed. (Westminster: John Knox Press; 1999), 2.</w:t>
      </w:r>
    </w:p>
  </w:footnote>
  <w:footnote w:id="2">
    <w:p w14:paraId="52925B48" w14:textId="77777777" w:rsidR="00E712AA" w:rsidRPr="00B967C5" w:rsidRDefault="00E712AA" w:rsidP="00E712AA">
      <w:pPr>
        <w:spacing w:after="240" w:line="240" w:lineRule="auto"/>
        <w:ind w:left="720" w:hanging="720"/>
        <w:rPr>
          <w:sz w:val="20"/>
          <w:szCs w:val="20"/>
        </w:rPr>
      </w:pPr>
      <w:r w:rsidRPr="00B967C5">
        <w:rPr>
          <w:rStyle w:val="FootnoteReference"/>
          <w:szCs w:val="20"/>
        </w:rPr>
        <w:footnoteRef/>
      </w:r>
      <w:r w:rsidRPr="00B967C5">
        <w:rPr>
          <w:sz w:val="20"/>
          <w:szCs w:val="20"/>
        </w:rPr>
        <w:t xml:space="preserve"> </w:t>
      </w:r>
      <w:r>
        <w:rPr>
          <w:sz w:val="20"/>
          <w:szCs w:val="20"/>
        </w:rPr>
        <w:t>Ibid., 1.</w:t>
      </w:r>
    </w:p>
  </w:footnote>
  <w:footnote w:id="3">
    <w:p w14:paraId="4E368BEC" w14:textId="77777777" w:rsidR="00E712AA" w:rsidRDefault="00E712AA" w:rsidP="00E712AA">
      <w:pPr>
        <w:spacing w:after="240" w:line="240" w:lineRule="auto"/>
        <w:ind w:left="720" w:hanging="720"/>
      </w:pPr>
      <w:r>
        <w:rPr>
          <w:rStyle w:val="FootnoteReference"/>
        </w:rPr>
        <w:footnoteRef/>
      </w:r>
      <w:r>
        <w:t xml:space="preserve"> </w:t>
      </w:r>
      <w:r w:rsidRPr="00AC5849">
        <w:t>Iain W.</w:t>
      </w:r>
      <w:r>
        <w:t xml:space="preserve"> </w:t>
      </w:r>
      <w:r w:rsidRPr="00AC5849">
        <w:t xml:space="preserve">Provan, </w:t>
      </w:r>
      <w:r w:rsidRPr="00AC5849">
        <w:rPr>
          <w:i/>
          <w:iCs/>
        </w:rPr>
        <w:t>1 and 2 Kings</w:t>
      </w:r>
      <w:r>
        <w:rPr>
          <w:i/>
          <w:iCs/>
        </w:rPr>
        <w:t xml:space="preserve"> </w:t>
      </w:r>
      <w:r>
        <w:t>(</w:t>
      </w:r>
      <w:r w:rsidRPr="00AC5849">
        <w:t>Grand Rapids: Baker Books, 1993</w:t>
      </w:r>
      <w:r>
        <w:t>), 16.</w:t>
      </w:r>
    </w:p>
    <w:p w14:paraId="1DA2C27D" w14:textId="77777777" w:rsidR="00E712AA" w:rsidRDefault="00E712AA" w:rsidP="00E712AA">
      <w:pPr>
        <w:pStyle w:val="FootnoteText"/>
      </w:pPr>
    </w:p>
  </w:footnote>
  <w:footnote w:id="4">
    <w:p w14:paraId="1AF3E4D9" w14:textId="77777777" w:rsidR="00E712AA" w:rsidRDefault="00E712AA" w:rsidP="00E712AA">
      <w:pPr>
        <w:pStyle w:val="FootnoteText"/>
      </w:pPr>
      <w:r>
        <w:rPr>
          <w:rStyle w:val="FootnoteReference"/>
        </w:rPr>
        <w:footnoteRef/>
      </w:r>
      <w:r>
        <w:t xml:space="preserve"> Ibid., 16.</w:t>
      </w:r>
    </w:p>
  </w:footnote>
  <w:footnote w:id="5">
    <w:p w14:paraId="4B0FC425" w14:textId="77777777" w:rsidR="00E712AA" w:rsidRDefault="00E712AA" w:rsidP="00E712AA">
      <w:pPr>
        <w:pStyle w:val="FootnoteText"/>
      </w:pPr>
      <w:r>
        <w:rPr>
          <w:rStyle w:val="FootnoteReference"/>
        </w:rPr>
        <w:footnoteRef/>
      </w:r>
      <w:r>
        <w:t xml:space="preserve"> </w:t>
      </w:r>
      <w:r w:rsidRPr="00B967C5">
        <w:t>Fretheim</w:t>
      </w:r>
      <w:r w:rsidRPr="00B967C5">
        <w:rPr>
          <w:i/>
          <w:iCs/>
        </w:rPr>
        <w:t>, First and Second Kings</w:t>
      </w:r>
      <w:r>
        <w:t>,</w:t>
      </w:r>
      <w:r w:rsidRPr="00B967C5">
        <w:t xml:space="preserve"> </w:t>
      </w:r>
      <w:r>
        <w:t>8.</w:t>
      </w:r>
    </w:p>
  </w:footnote>
  <w:footnote w:id="6">
    <w:p w14:paraId="499C1677" w14:textId="77777777" w:rsidR="00E712AA" w:rsidRPr="00B967C5" w:rsidRDefault="00E712AA" w:rsidP="00E712AA">
      <w:pPr>
        <w:pStyle w:val="FootnoteText"/>
      </w:pPr>
      <w:r w:rsidRPr="00B967C5">
        <w:rPr>
          <w:rStyle w:val="FootnoteReference"/>
        </w:rPr>
        <w:footnoteRef/>
      </w:r>
      <w:r w:rsidRPr="00B967C5">
        <w:t xml:space="preserve"> </w:t>
      </w:r>
      <w:bookmarkStart w:id="16" w:name="_Hlk79712610"/>
      <w:r w:rsidRPr="00B967C5">
        <w:t>Ed Hindson, “1 &amp; 2 Kings” (Course video in OBST 515 at Liberty University, Lynchburg, VA, August 10, 2021).</w:t>
      </w:r>
      <w:bookmarkEnd w:id="16"/>
    </w:p>
  </w:footnote>
  <w:footnote w:id="7">
    <w:p w14:paraId="54183AF9" w14:textId="77777777" w:rsidR="00E712AA" w:rsidRDefault="00E712AA" w:rsidP="00E712AA">
      <w:pPr>
        <w:pStyle w:val="FootnoteText"/>
      </w:pPr>
      <w:r>
        <w:rPr>
          <w:rStyle w:val="FootnoteReference"/>
        </w:rPr>
        <w:footnoteRef/>
      </w:r>
      <w:r>
        <w:t xml:space="preserve"> </w:t>
      </w:r>
      <w:r w:rsidRPr="00E54B6A">
        <w:t>Johanna W. H.</w:t>
      </w:r>
      <w:r>
        <w:t xml:space="preserve"> </w:t>
      </w:r>
      <w:r w:rsidRPr="00E54B6A">
        <w:t xml:space="preserve">Van Wijk-Bos, </w:t>
      </w:r>
      <w:r w:rsidRPr="00E54B6A">
        <w:rPr>
          <w:i/>
          <w:iCs/>
        </w:rPr>
        <w:t>The Land and Its Kings: 1-2 Kings</w:t>
      </w:r>
      <w:r>
        <w:rPr>
          <w:i/>
          <w:iCs/>
        </w:rPr>
        <w:t xml:space="preserve"> </w:t>
      </w:r>
      <w:r>
        <w:t>(</w:t>
      </w:r>
      <w:r w:rsidRPr="00E54B6A">
        <w:t>Grand Rapids: William B. Eerdmans Publishing Company, 2020</w:t>
      </w:r>
      <w:r>
        <w:t>), 8</w:t>
      </w:r>
      <w:r w:rsidRPr="00E54B6A">
        <w:t>.</w:t>
      </w:r>
    </w:p>
  </w:footnote>
  <w:footnote w:id="8">
    <w:p w14:paraId="73C16F31" w14:textId="77777777" w:rsidR="00E712AA" w:rsidRPr="00B967C5" w:rsidRDefault="00E712AA" w:rsidP="00E712AA">
      <w:pPr>
        <w:pStyle w:val="FootnoteText"/>
      </w:pPr>
      <w:r w:rsidRPr="00B967C5">
        <w:rPr>
          <w:rStyle w:val="FootnoteReference"/>
        </w:rPr>
        <w:footnoteRef/>
      </w:r>
      <w:r w:rsidRPr="00B967C5">
        <w:t xml:space="preserve"> Ed Hindson, “1 &amp; 2 Kings” (Course video in OBST 515 at Liberty University, Lynchburg, VA, August 10, 2021).</w:t>
      </w:r>
    </w:p>
  </w:footnote>
  <w:footnote w:id="9">
    <w:p w14:paraId="1E712715" w14:textId="77777777" w:rsidR="00E712AA" w:rsidRPr="00B967C5" w:rsidRDefault="00E712AA" w:rsidP="00E712AA">
      <w:pPr>
        <w:pStyle w:val="FootnoteText"/>
      </w:pPr>
      <w:r w:rsidRPr="00B967C5">
        <w:rPr>
          <w:rStyle w:val="FootnoteReference"/>
        </w:rPr>
        <w:footnoteRef/>
      </w:r>
      <w:r w:rsidRPr="00B967C5">
        <w:t xml:space="preserve"> Fretheim</w:t>
      </w:r>
      <w:r w:rsidRPr="00B967C5">
        <w:rPr>
          <w:i/>
          <w:iCs/>
        </w:rPr>
        <w:t xml:space="preserve">, First and Second Kings, </w:t>
      </w:r>
      <w:r w:rsidRPr="00B967C5">
        <w:t>2..</w:t>
      </w:r>
    </w:p>
  </w:footnote>
  <w:footnote w:id="10">
    <w:p w14:paraId="080D84FC" w14:textId="77777777" w:rsidR="00E712AA" w:rsidRDefault="00E712AA" w:rsidP="00E712AA">
      <w:pPr>
        <w:pStyle w:val="FootnoteText"/>
      </w:pPr>
      <w:r>
        <w:rPr>
          <w:rStyle w:val="FootnoteReference"/>
        </w:rPr>
        <w:footnoteRef/>
      </w:r>
      <w:r>
        <w:t xml:space="preserve"> </w:t>
      </w:r>
      <w:r w:rsidRPr="00E25305">
        <w:t>Marco Conti</w:t>
      </w:r>
      <w:r>
        <w:t xml:space="preserve"> </w:t>
      </w:r>
      <w:r w:rsidRPr="00E25305">
        <w:t xml:space="preserve">and Thomas C. Oden. </w:t>
      </w:r>
      <w:r w:rsidRPr="00E25305">
        <w:rPr>
          <w:i/>
          <w:iCs/>
        </w:rPr>
        <w:t>1-2 Kings, 1-2 Chronicles, Ezra, Nehemiah, Esther</w:t>
      </w:r>
      <w:r>
        <w:t xml:space="preserve"> (</w:t>
      </w:r>
      <w:r w:rsidRPr="00E25305">
        <w:t>Illinois: InterVarsity Press, 2008</w:t>
      </w:r>
      <w:r>
        <w:t>), 41</w:t>
      </w:r>
      <w:r w:rsidRPr="00E25305">
        <w:t>.</w:t>
      </w:r>
    </w:p>
  </w:footnote>
  <w:footnote w:id="11">
    <w:p w14:paraId="1F8A6B14" w14:textId="77777777" w:rsidR="000D116D" w:rsidRDefault="000D116D" w:rsidP="000D116D">
      <w:pPr>
        <w:pStyle w:val="FootnoteText"/>
      </w:pPr>
      <w:r>
        <w:rPr>
          <w:rStyle w:val="FootnoteReference"/>
        </w:rPr>
        <w:footnoteRef/>
      </w:r>
      <w:r>
        <w:t xml:space="preserve"> </w:t>
      </w:r>
      <w:r w:rsidRPr="00FA1358">
        <w:t xml:space="preserve">Provan, </w:t>
      </w:r>
      <w:r w:rsidRPr="00FA1358">
        <w:rPr>
          <w:i/>
          <w:iCs/>
        </w:rPr>
        <w:t>1 and 2 Kings</w:t>
      </w:r>
      <w:r>
        <w:t>, 21.</w:t>
      </w:r>
    </w:p>
  </w:footnote>
  <w:footnote w:id="12">
    <w:p w14:paraId="5605F77E" w14:textId="77777777" w:rsidR="000D116D" w:rsidRDefault="000D116D" w:rsidP="000D116D">
      <w:pPr>
        <w:spacing w:after="240" w:line="240" w:lineRule="auto"/>
        <w:ind w:firstLine="720"/>
      </w:pPr>
      <w:r>
        <w:rPr>
          <w:rStyle w:val="FootnoteReference"/>
        </w:rPr>
        <w:footnoteRef/>
      </w:r>
      <w:r>
        <w:t xml:space="preserve"> </w:t>
      </w:r>
      <w:r w:rsidRPr="00BC0700">
        <w:t>Alice L</w:t>
      </w:r>
      <w:r>
        <w:t>.</w:t>
      </w:r>
      <w:r w:rsidRPr="00E12519">
        <w:t xml:space="preserve"> </w:t>
      </w:r>
      <w:r w:rsidRPr="00BC0700">
        <w:t xml:space="preserve">Laffey, </w:t>
      </w:r>
      <w:r w:rsidRPr="00D30064">
        <w:rPr>
          <w:i/>
          <w:iCs/>
        </w:rPr>
        <w:t>First and Second Kings: Volume 9</w:t>
      </w:r>
      <w:r>
        <w:rPr>
          <w:i/>
          <w:iCs/>
        </w:rPr>
        <w:t xml:space="preserve"> </w:t>
      </w:r>
      <w:r>
        <w:t>(</w:t>
      </w:r>
      <w:r w:rsidRPr="00BC0700">
        <w:t>Collegeville, MN: Liturgical Press, 2012</w:t>
      </w:r>
      <w:r>
        <w:t>), 1</w:t>
      </w:r>
      <w:r w:rsidRPr="00BC0700">
        <w:t>.</w:t>
      </w:r>
    </w:p>
  </w:footnote>
  <w:footnote w:id="13">
    <w:p w14:paraId="27BDD9E0" w14:textId="77777777" w:rsidR="00FC26FE" w:rsidRDefault="00FC26FE" w:rsidP="00FC26FE">
      <w:pPr>
        <w:pStyle w:val="FootnoteText"/>
      </w:pPr>
      <w:r>
        <w:rPr>
          <w:rStyle w:val="FootnoteReference"/>
        </w:rPr>
        <w:footnoteRef/>
      </w:r>
      <w:r>
        <w:t xml:space="preserve"> </w:t>
      </w:r>
      <w:r w:rsidRPr="00040557">
        <w:t>Donald J.</w:t>
      </w:r>
      <w:r>
        <w:t xml:space="preserve"> </w:t>
      </w:r>
      <w:r w:rsidRPr="00040557">
        <w:t xml:space="preserve">Wiseman, </w:t>
      </w:r>
      <w:r w:rsidRPr="005F7FA4">
        <w:rPr>
          <w:i/>
          <w:iCs/>
        </w:rPr>
        <w:t>1 and 2 Kings</w:t>
      </w:r>
      <w:r>
        <w:t xml:space="preserve"> (</w:t>
      </w:r>
      <w:r w:rsidRPr="00040557">
        <w:t>Illinois: InterVarsity Press, 2008</w:t>
      </w:r>
      <w:r>
        <w:t>), 284</w:t>
      </w:r>
      <w:r w:rsidRPr="00040557">
        <w:t>.</w:t>
      </w:r>
    </w:p>
  </w:footnote>
  <w:footnote w:id="14">
    <w:p w14:paraId="0BA6F9EC" w14:textId="77777777" w:rsidR="00FC26FE" w:rsidRDefault="00FC26FE" w:rsidP="00FC26FE">
      <w:pPr>
        <w:pStyle w:val="FootnoteText"/>
      </w:pPr>
      <w:r>
        <w:rPr>
          <w:rStyle w:val="FootnoteReference"/>
        </w:rPr>
        <w:footnoteRef/>
      </w:r>
      <w:r>
        <w:t xml:space="preserve"> </w:t>
      </w:r>
      <w:r w:rsidRPr="00737F0A">
        <w:t xml:space="preserve">Victor P. Hamilton, </w:t>
      </w:r>
      <w:r w:rsidRPr="00737F0A">
        <w:rPr>
          <w:i/>
          <w:iCs/>
        </w:rPr>
        <w:t>Handbook on the Historical Books</w:t>
      </w:r>
      <w:r w:rsidRPr="00737F0A">
        <w:t xml:space="preserve"> </w:t>
      </w:r>
      <w:r>
        <w:t>(</w:t>
      </w:r>
      <w:r w:rsidRPr="00737F0A">
        <w:t>Grand Rapids, MI: Baker Publishing, 2001</w:t>
      </w:r>
      <w:r>
        <w:t>), 454.</w:t>
      </w:r>
    </w:p>
  </w:footnote>
  <w:footnote w:id="15">
    <w:p w14:paraId="08523EB1" w14:textId="77777777" w:rsidR="00FC26FE" w:rsidRPr="000F3A13" w:rsidRDefault="00FC26FE" w:rsidP="00FC26FE">
      <w:pPr>
        <w:pStyle w:val="FootnoteText"/>
      </w:pPr>
      <w:r>
        <w:rPr>
          <w:rStyle w:val="FootnoteReference"/>
        </w:rPr>
        <w:footnoteRef/>
      </w:r>
      <w:r>
        <w:t xml:space="preserve"> </w:t>
      </w:r>
      <w:r w:rsidRPr="00B967C5">
        <w:t>Fretheim</w:t>
      </w:r>
      <w:r w:rsidRPr="00B967C5">
        <w:rPr>
          <w:i/>
          <w:iCs/>
        </w:rPr>
        <w:t>, First and Second Kings</w:t>
      </w:r>
      <w:r>
        <w:rPr>
          <w:i/>
          <w:iCs/>
        </w:rPr>
        <w:t xml:space="preserve">, </w:t>
      </w:r>
      <w:r>
        <w:t>192.</w:t>
      </w:r>
    </w:p>
  </w:footnote>
  <w:footnote w:id="16">
    <w:p w14:paraId="2F0DCA47" w14:textId="77777777" w:rsidR="00FC26FE" w:rsidRPr="00882D9E" w:rsidRDefault="00FC26FE" w:rsidP="00FC26FE">
      <w:pPr>
        <w:pStyle w:val="FootnoteText"/>
      </w:pPr>
      <w:r>
        <w:rPr>
          <w:rStyle w:val="FootnoteReference"/>
        </w:rPr>
        <w:footnoteRef/>
      </w:r>
      <w:r>
        <w:t xml:space="preserve"> </w:t>
      </w:r>
      <w:r w:rsidRPr="00737F0A">
        <w:t xml:space="preserve">Hamilton, </w:t>
      </w:r>
      <w:r w:rsidRPr="00737F0A">
        <w:rPr>
          <w:i/>
          <w:iCs/>
        </w:rPr>
        <w:t>Handbook on the Historical Books</w:t>
      </w:r>
      <w:r>
        <w:rPr>
          <w:i/>
          <w:iCs/>
        </w:rPr>
        <w:t xml:space="preserve">, </w:t>
      </w:r>
      <w:r>
        <w:t>455.</w:t>
      </w:r>
    </w:p>
  </w:footnote>
  <w:footnote w:id="17">
    <w:p w14:paraId="335668E1" w14:textId="77777777" w:rsidR="00FC26FE" w:rsidRDefault="00FC26FE" w:rsidP="00FC26FE">
      <w:pPr>
        <w:pStyle w:val="FootnoteText"/>
      </w:pPr>
      <w:r>
        <w:rPr>
          <w:rStyle w:val="FootnoteReference"/>
        </w:rPr>
        <w:footnoteRef/>
      </w:r>
      <w:r>
        <w:t xml:space="preserve"> Ibid., 193.</w:t>
      </w:r>
    </w:p>
  </w:footnote>
  <w:footnote w:id="18">
    <w:p w14:paraId="1BC6AD44" w14:textId="77777777" w:rsidR="00FC26FE" w:rsidRPr="003E254D" w:rsidRDefault="00FC26FE" w:rsidP="00FC26FE">
      <w:pPr>
        <w:pStyle w:val="FootnoteText"/>
      </w:pPr>
      <w:r>
        <w:rPr>
          <w:rStyle w:val="FootnoteReference"/>
        </w:rPr>
        <w:footnoteRef/>
      </w:r>
      <w:r>
        <w:t xml:space="preserve"> </w:t>
      </w:r>
      <w:r w:rsidRPr="00BC0700">
        <w:t xml:space="preserve">Laffey, </w:t>
      </w:r>
      <w:r w:rsidRPr="00D30064">
        <w:rPr>
          <w:i/>
          <w:iCs/>
        </w:rPr>
        <w:t>First and Second Kings</w:t>
      </w:r>
      <w:r>
        <w:rPr>
          <w:i/>
          <w:iCs/>
        </w:rPr>
        <w:t xml:space="preserve">, </w:t>
      </w:r>
      <w:r>
        <w:t>17.</w:t>
      </w:r>
    </w:p>
  </w:footnote>
  <w:footnote w:id="19">
    <w:p w14:paraId="7D60B1FA" w14:textId="77777777" w:rsidR="00140EFC" w:rsidRDefault="00140EFC" w:rsidP="00140EFC">
      <w:pPr>
        <w:pStyle w:val="FootnoteText"/>
      </w:pPr>
      <w:r>
        <w:rPr>
          <w:rStyle w:val="FootnoteReference"/>
        </w:rPr>
        <w:footnoteRef/>
      </w:r>
      <w:r>
        <w:t xml:space="preserve"> </w:t>
      </w:r>
      <w:r w:rsidRPr="00B967C5">
        <w:t>Fretheim</w:t>
      </w:r>
      <w:r w:rsidRPr="00B967C5">
        <w:rPr>
          <w:i/>
          <w:iCs/>
        </w:rPr>
        <w:t>, First and Second Kings</w:t>
      </w:r>
      <w:r>
        <w:rPr>
          <w:i/>
          <w:iCs/>
        </w:rPr>
        <w:t>,</w:t>
      </w:r>
      <w:r>
        <w:t xml:space="preserve"> 194</w:t>
      </w:r>
    </w:p>
  </w:footnote>
  <w:footnote w:id="20">
    <w:p w14:paraId="6DE47070" w14:textId="77777777" w:rsidR="008C5CDB" w:rsidRDefault="008C5CDB" w:rsidP="008C5CDB">
      <w:pPr>
        <w:pStyle w:val="FootnoteText"/>
      </w:pPr>
      <w:r>
        <w:rPr>
          <w:rStyle w:val="FootnoteReference"/>
        </w:rPr>
        <w:footnoteRef/>
      </w:r>
      <w:r>
        <w:t xml:space="preserve"> </w:t>
      </w:r>
      <w:r w:rsidRPr="00040557">
        <w:t xml:space="preserve">Wiseman, </w:t>
      </w:r>
      <w:r w:rsidRPr="005F7FA4">
        <w:rPr>
          <w:i/>
          <w:iCs/>
        </w:rPr>
        <w:t>1 and 2 Kings</w:t>
      </w:r>
      <w:r>
        <w:rPr>
          <w:i/>
          <w:iCs/>
        </w:rPr>
        <w:t xml:space="preserve">, </w:t>
      </w:r>
      <w:r w:rsidRPr="00904310">
        <w:t>292.</w:t>
      </w:r>
    </w:p>
  </w:footnote>
  <w:footnote w:id="21">
    <w:p w14:paraId="18FCC1F2" w14:textId="77777777" w:rsidR="00140EFC" w:rsidRDefault="00140EFC" w:rsidP="00140EFC">
      <w:pPr>
        <w:pStyle w:val="FootnoteText"/>
      </w:pPr>
      <w:r>
        <w:rPr>
          <w:rStyle w:val="FootnoteReference"/>
        </w:rPr>
        <w:footnoteRef/>
      </w:r>
      <w:r>
        <w:t xml:space="preserve"> </w:t>
      </w:r>
    </w:p>
  </w:footnote>
  <w:footnote w:id="22">
    <w:p w14:paraId="5A7DAD94" w14:textId="77777777" w:rsidR="00140EFC" w:rsidRDefault="00140EFC" w:rsidP="00140EFC">
      <w:pPr>
        <w:pStyle w:val="FootnoteText"/>
      </w:pPr>
      <w:r>
        <w:rPr>
          <w:rStyle w:val="FootnoteReference"/>
        </w:rPr>
        <w:footnoteRef/>
      </w:r>
      <w:r>
        <w:t xml:space="preserve"> </w:t>
      </w:r>
      <w:r w:rsidRPr="00040557">
        <w:t xml:space="preserve">Wiseman, </w:t>
      </w:r>
      <w:r w:rsidRPr="005F7FA4">
        <w:rPr>
          <w:i/>
          <w:iCs/>
        </w:rPr>
        <w:t>1 and 2 Kings</w:t>
      </w:r>
      <w:r>
        <w:rPr>
          <w:i/>
          <w:iCs/>
        </w:rPr>
        <w:t xml:space="preserve">, </w:t>
      </w:r>
      <w:r w:rsidRPr="00904310">
        <w:t>29</w:t>
      </w:r>
      <w:r>
        <w:t>7.</w:t>
      </w:r>
    </w:p>
  </w:footnote>
  <w:footnote w:id="23">
    <w:p w14:paraId="6F0A26D2" w14:textId="77777777" w:rsidR="00140EFC" w:rsidRDefault="00140EFC" w:rsidP="00140EFC">
      <w:pPr>
        <w:pStyle w:val="FootnoteText"/>
      </w:pPr>
      <w:r>
        <w:rPr>
          <w:rStyle w:val="FootnoteReference"/>
        </w:rPr>
        <w:footnoteRef/>
      </w:r>
      <w:r>
        <w:t xml:space="preserve"> </w:t>
      </w:r>
      <w:r w:rsidRPr="00B967C5">
        <w:t>Fretheim</w:t>
      </w:r>
      <w:r w:rsidRPr="00B967C5">
        <w:rPr>
          <w:i/>
          <w:iCs/>
        </w:rPr>
        <w:t>, First and Second Kings</w:t>
      </w:r>
      <w:r>
        <w:rPr>
          <w:i/>
          <w:iCs/>
        </w:rPr>
        <w:t>,</w:t>
      </w:r>
      <w:r>
        <w:t xml:space="preserve"> 201.</w:t>
      </w:r>
    </w:p>
  </w:footnote>
  <w:footnote w:id="24">
    <w:p w14:paraId="2D2B1CEC" w14:textId="77777777" w:rsidR="00140EFC" w:rsidRDefault="00140EFC" w:rsidP="00140EFC">
      <w:pPr>
        <w:pStyle w:val="FootnoteText"/>
      </w:pPr>
      <w:r>
        <w:rPr>
          <w:rStyle w:val="FootnoteReference"/>
        </w:rPr>
        <w:footnoteRef/>
      </w:r>
      <w:r>
        <w:t xml:space="preserve"> </w:t>
      </w:r>
      <w:r w:rsidRPr="00B967C5">
        <w:t>Fretheim</w:t>
      </w:r>
      <w:r w:rsidRPr="00B967C5">
        <w:rPr>
          <w:i/>
          <w:iCs/>
        </w:rPr>
        <w:t>, First and Second Kings</w:t>
      </w:r>
      <w:r>
        <w:rPr>
          <w:i/>
          <w:iCs/>
        </w:rPr>
        <w:t>,</w:t>
      </w:r>
      <w:r>
        <w:t xml:space="preserve"> 205</w:t>
      </w:r>
    </w:p>
  </w:footnote>
  <w:footnote w:id="25">
    <w:p w14:paraId="4DAB3985" w14:textId="77777777" w:rsidR="00140EFC" w:rsidRDefault="00140EFC" w:rsidP="00140EFC">
      <w:pPr>
        <w:pStyle w:val="FootnoteText"/>
      </w:pPr>
      <w:r>
        <w:rPr>
          <w:rStyle w:val="FootnoteReference"/>
        </w:rPr>
        <w:footnoteRef/>
      </w:r>
      <w:r>
        <w:t xml:space="preserve"> Ibid., 205.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076F4"/>
    <w:rsid w:val="00032779"/>
    <w:rsid w:val="00034FB5"/>
    <w:rsid w:val="00040557"/>
    <w:rsid w:val="000507AA"/>
    <w:rsid w:val="0006299D"/>
    <w:rsid w:val="0008569C"/>
    <w:rsid w:val="000B53D6"/>
    <w:rsid w:val="000C2FB6"/>
    <w:rsid w:val="000D116D"/>
    <w:rsid w:val="000D41A4"/>
    <w:rsid w:val="000E6190"/>
    <w:rsid w:val="000F3A13"/>
    <w:rsid w:val="00106286"/>
    <w:rsid w:val="0011360E"/>
    <w:rsid w:val="00114B0E"/>
    <w:rsid w:val="00121953"/>
    <w:rsid w:val="00124FB0"/>
    <w:rsid w:val="00130F73"/>
    <w:rsid w:val="001334BA"/>
    <w:rsid w:val="00134BCC"/>
    <w:rsid w:val="00140EFC"/>
    <w:rsid w:val="00141902"/>
    <w:rsid w:val="00141E98"/>
    <w:rsid w:val="00150478"/>
    <w:rsid w:val="001517D4"/>
    <w:rsid w:val="001558D8"/>
    <w:rsid w:val="00155F02"/>
    <w:rsid w:val="001631B7"/>
    <w:rsid w:val="00174C31"/>
    <w:rsid w:val="001918B7"/>
    <w:rsid w:val="001A20E7"/>
    <w:rsid w:val="001B35F3"/>
    <w:rsid w:val="001C0D3E"/>
    <w:rsid w:val="001C2FD2"/>
    <w:rsid w:val="001D5B1A"/>
    <w:rsid w:val="001F585E"/>
    <w:rsid w:val="00207D29"/>
    <w:rsid w:val="002152EF"/>
    <w:rsid w:val="002401B1"/>
    <w:rsid w:val="002555F0"/>
    <w:rsid w:val="00283562"/>
    <w:rsid w:val="00296EC5"/>
    <w:rsid w:val="002A6EBA"/>
    <w:rsid w:val="002B7C8F"/>
    <w:rsid w:val="002F089E"/>
    <w:rsid w:val="002F7479"/>
    <w:rsid w:val="0030455F"/>
    <w:rsid w:val="00304900"/>
    <w:rsid w:val="003134DA"/>
    <w:rsid w:val="00332E7E"/>
    <w:rsid w:val="003474BE"/>
    <w:rsid w:val="00350B9C"/>
    <w:rsid w:val="0035134B"/>
    <w:rsid w:val="00356833"/>
    <w:rsid w:val="00375636"/>
    <w:rsid w:val="003775FD"/>
    <w:rsid w:val="00384302"/>
    <w:rsid w:val="003960E2"/>
    <w:rsid w:val="00397061"/>
    <w:rsid w:val="003C0A92"/>
    <w:rsid w:val="003C409F"/>
    <w:rsid w:val="003C6AC5"/>
    <w:rsid w:val="003E254D"/>
    <w:rsid w:val="003E7560"/>
    <w:rsid w:val="003F4C35"/>
    <w:rsid w:val="003F6E92"/>
    <w:rsid w:val="00400C96"/>
    <w:rsid w:val="00404BF1"/>
    <w:rsid w:val="00411811"/>
    <w:rsid w:val="00420F32"/>
    <w:rsid w:val="00432FB1"/>
    <w:rsid w:val="00433AAD"/>
    <w:rsid w:val="00434791"/>
    <w:rsid w:val="00434D3F"/>
    <w:rsid w:val="00463296"/>
    <w:rsid w:val="00482648"/>
    <w:rsid w:val="00484ECF"/>
    <w:rsid w:val="004D4AF9"/>
    <w:rsid w:val="004D681C"/>
    <w:rsid w:val="004E7525"/>
    <w:rsid w:val="005449C8"/>
    <w:rsid w:val="00550A69"/>
    <w:rsid w:val="0056155C"/>
    <w:rsid w:val="00580948"/>
    <w:rsid w:val="00595574"/>
    <w:rsid w:val="005C0F78"/>
    <w:rsid w:val="005E7F5F"/>
    <w:rsid w:val="005F7FA4"/>
    <w:rsid w:val="00606EE5"/>
    <w:rsid w:val="006135D2"/>
    <w:rsid w:val="00614CD8"/>
    <w:rsid w:val="00622240"/>
    <w:rsid w:val="00640764"/>
    <w:rsid w:val="00656585"/>
    <w:rsid w:val="00657549"/>
    <w:rsid w:val="0066520B"/>
    <w:rsid w:val="00684DC2"/>
    <w:rsid w:val="006876D2"/>
    <w:rsid w:val="00690AD8"/>
    <w:rsid w:val="006A43A9"/>
    <w:rsid w:val="006B3547"/>
    <w:rsid w:val="007215D2"/>
    <w:rsid w:val="00737F0A"/>
    <w:rsid w:val="007A31B8"/>
    <w:rsid w:val="007A66C0"/>
    <w:rsid w:val="007D5E7E"/>
    <w:rsid w:val="007E52F0"/>
    <w:rsid w:val="007E71EC"/>
    <w:rsid w:val="00805553"/>
    <w:rsid w:val="00823597"/>
    <w:rsid w:val="00846716"/>
    <w:rsid w:val="00861DD8"/>
    <w:rsid w:val="00866B67"/>
    <w:rsid w:val="008804E1"/>
    <w:rsid w:val="00882D9E"/>
    <w:rsid w:val="00890311"/>
    <w:rsid w:val="008C1994"/>
    <w:rsid w:val="008C5CDB"/>
    <w:rsid w:val="008D3E11"/>
    <w:rsid w:val="008D6E51"/>
    <w:rsid w:val="00904310"/>
    <w:rsid w:val="009131E7"/>
    <w:rsid w:val="00926EFB"/>
    <w:rsid w:val="0093103D"/>
    <w:rsid w:val="00934FC4"/>
    <w:rsid w:val="00937ED9"/>
    <w:rsid w:val="009A2C33"/>
    <w:rsid w:val="009B2FC8"/>
    <w:rsid w:val="009C136E"/>
    <w:rsid w:val="009D11B5"/>
    <w:rsid w:val="009E46B4"/>
    <w:rsid w:val="009E6D76"/>
    <w:rsid w:val="009E7D01"/>
    <w:rsid w:val="00A07CBC"/>
    <w:rsid w:val="00A22B64"/>
    <w:rsid w:val="00A267C6"/>
    <w:rsid w:val="00A36B5C"/>
    <w:rsid w:val="00A43B4D"/>
    <w:rsid w:val="00A5648A"/>
    <w:rsid w:val="00A70889"/>
    <w:rsid w:val="00A752F0"/>
    <w:rsid w:val="00A76B03"/>
    <w:rsid w:val="00A8137A"/>
    <w:rsid w:val="00AC1B7B"/>
    <w:rsid w:val="00AD1015"/>
    <w:rsid w:val="00AE1A54"/>
    <w:rsid w:val="00AE1E2E"/>
    <w:rsid w:val="00AE7146"/>
    <w:rsid w:val="00AF315F"/>
    <w:rsid w:val="00AF3CDD"/>
    <w:rsid w:val="00B12D3D"/>
    <w:rsid w:val="00B16F57"/>
    <w:rsid w:val="00B216BD"/>
    <w:rsid w:val="00B334E6"/>
    <w:rsid w:val="00B34C91"/>
    <w:rsid w:val="00B4331C"/>
    <w:rsid w:val="00B62174"/>
    <w:rsid w:val="00B64381"/>
    <w:rsid w:val="00B84928"/>
    <w:rsid w:val="00B92FEC"/>
    <w:rsid w:val="00B967C5"/>
    <w:rsid w:val="00BB06A1"/>
    <w:rsid w:val="00BB15E2"/>
    <w:rsid w:val="00BB42C1"/>
    <w:rsid w:val="00BB571B"/>
    <w:rsid w:val="00BD2A59"/>
    <w:rsid w:val="00BF09C1"/>
    <w:rsid w:val="00BF6365"/>
    <w:rsid w:val="00BF7136"/>
    <w:rsid w:val="00C05C7F"/>
    <w:rsid w:val="00C05F96"/>
    <w:rsid w:val="00C33004"/>
    <w:rsid w:val="00C4060D"/>
    <w:rsid w:val="00C46467"/>
    <w:rsid w:val="00C6173E"/>
    <w:rsid w:val="00C63BF7"/>
    <w:rsid w:val="00C70A4A"/>
    <w:rsid w:val="00C75AB6"/>
    <w:rsid w:val="00C828D0"/>
    <w:rsid w:val="00CC0259"/>
    <w:rsid w:val="00CC1375"/>
    <w:rsid w:val="00CE19FA"/>
    <w:rsid w:val="00CE489C"/>
    <w:rsid w:val="00D02891"/>
    <w:rsid w:val="00D072C2"/>
    <w:rsid w:val="00D17405"/>
    <w:rsid w:val="00D623F4"/>
    <w:rsid w:val="00D70FF1"/>
    <w:rsid w:val="00D8387E"/>
    <w:rsid w:val="00D850DE"/>
    <w:rsid w:val="00D86D53"/>
    <w:rsid w:val="00D97B97"/>
    <w:rsid w:val="00DA2AE0"/>
    <w:rsid w:val="00DB2D32"/>
    <w:rsid w:val="00DB45AF"/>
    <w:rsid w:val="00DB6175"/>
    <w:rsid w:val="00DB71C0"/>
    <w:rsid w:val="00DD0D8B"/>
    <w:rsid w:val="00DD1BC9"/>
    <w:rsid w:val="00DE5146"/>
    <w:rsid w:val="00DF7AA0"/>
    <w:rsid w:val="00E02690"/>
    <w:rsid w:val="00E07C77"/>
    <w:rsid w:val="00E12519"/>
    <w:rsid w:val="00E128AC"/>
    <w:rsid w:val="00E25305"/>
    <w:rsid w:val="00E25E34"/>
    <w:rsid w:val="00E33F9B"/>
    <w:rsid w:val="00E54B6A"/>
    <w:rsid w:val="00E56D63"/>
    <w:rsid w:val="00E6776E"/>
    <w:rsid w:val="00E712AA"/>
    <w:rsid w:val="00E76EAE"/>
    <w:rsid w:val="00EA097D"/>
    <w:rsid w:val="00EA401D"/>
    <w:rsid w:val="00EB5026"/>
    <w:rsid w:val="00ED04CE"/>
    <w:rsid w:val="00ED1F3A"/>
    <w:rsid w:val="00ED27B4"/>
    <w:rsid w:val="00EF4377"/>
    <w:rsid w:val="00F02AA4"/>
    <w:rsid w:val="00F228DC"/>
    <w:rsid w:val="00F547D5"/>
    <w:rsid w:val="00F60E46"/>
    <w:rsid w:val="00F630B3"/>
    <w:rsid w:val="00F64802"/>
    <w:rsid w:val="00F8465E"/>
    <w:rsid w:val="00F87F92"/>
    <w:rsid w:val="00F94E20"/>
    <w:rsid w:val="00F96131"/>
    <w:rsid w:val="00FA1358"/>
    <w:rsid w:val="00FB053A"/>
    <w:rsid w:val="00FB16B1"/>
    <w:rsid w:val="00FB1E9C"/>
    <w:rsid w:val="00FB5E12"/>
    <w:rsid w:val="00FB6365"/>
    <w:rsid w:val="00FC26FE"/>
    <w:rsid w:val="00FD0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140EFC"/>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CC1375"/>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EFC"/>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CC1375"/>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FB1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74777714">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145050782">
      <w:bodyDiv w:val="1"/>
      <w:marLeft w:val="0"/>
      <w:marRight w:val="0"/>
      <w:marTop w:val="0"/>
      <w:marBottom w:val="0"/>
      <w:divBdr>
        <w:top w:val="none" w:sz="0" w:space="0" w:color="auto"/>
        <w:left w:val="none" w:sz="0" w:space="0" w:color="auto"/>
        <w:bottom w:val="none" w:sz="0" w:space="0" w:color="auto"/>
        <w:right w:val="none" w:sz="0" w:space="0" w:color="auto"/>
      </w:divBdr>
    </w:div>
    <w:div w:id="1305352037">
      <w:bodyDiv w:val="1"/>
      <w:marLeft w:val="0"/>
      <w:marRight w:val="0"/>
      <w:marTop w:val="0"/>
      <w:marBottom w:val="0"/>
      <w:divBdr>
        <w:top w:val="none" w:sz="0" w:space="0" w:color="auto"/>
        <w:left w:val="none" w:sz="0" w:space="0" w:color="auto"/>
        <w:bottom w:val="none" w:sz="0" w:space="0" w:color="auto"/>
        <w:right w:val="none" w:sz="0" w:space="0" w:color="auto"/>
      </w:divBdr>
    </w:div>
    <w:div w:id="1736391019">
      <w:bodyDiv w:val="1"/>
      <w:marLeft w:val="0"/>
      <w:marRight w:val="0"/>
      <w:marTop w:val="0"/>
      <w:marBottom w:val="0"/>
      <w:divBdr>
        <w:top w:val="none" w:sz="0" w:space="0" w:color="auto"/>
        <w:left w:val="none" w:sz="0" w:space="0" w:color="auto"/>
        <w:bottom w:val="none" w:sz="0" w:space="0" w:color="auto"/>
        <w:right w:val="none" w:sz="0" w:space="0" w:color="auto"/>
      </w:divBdr>
    </w:div>
    <w:div w:id="1775437930">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72260756">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1037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13</Pages>
  <Words>2850</Words>
  <Characters>16247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13</cp:revision>
  <dcterms:created xsi:type="dcterms:W3CDTF">2021-08-12T15:12:00Z</dcterms:created>
  <dcterms:modified xsi:type="dcterms:W3CDTF">2021-08-15T16:48:00Z</dcterms:modified>
</cp:coreProperties>
</file>