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71BD4" w14:textId="0A4BD065" w:rsidR="0029757A" w:rsidRDefault="0029757A" w:rsidP="008A0FC3">
      <w:pPr>
        <w:pStyle w:val="NormalWeb"/>
        <w:spacing w:before="240" w:after="0"/>
        <w:rPr>
          <w:color w:val="0E101A"/>
        </w:rPr>
      </w:pPr>
      <w:r>
        <w:rPr>
          <w:color w:val="0E101A"/>
        </w:rPr>
        <w:t>In my understanding, imprecatory psalms are songs that invoke God’s judgment. These psalms are characterized by prayers of lamentation, and also of vengeance. Walter Brueggemann and William H. Bellinger</w:t>
      </w:r>
      <w:r w:rsidR="008A0FC3">
        <w:rPr>
          <w:color w:val="0E101A"/>
        </w:rPr>
        <w:t xml:space="preserve"> </w:t>
      </w:r>
      <w:r>
        <w:rPr>
          <w:color w:val="0E101A"/>
        </w:rPr>
        <w:t>in their commentary of Psalms call them the “dark side” of petition.</w:t>
      </w:r>
      <w:r w:rsidRPr="00D9472B">
        <w:rPr>
          <w:rStyle w:val="FootnoteReference"/>
        </w:rPr>
        <w:footnoteReference w:id="1"/>
      </w:r>
      <w:r>
        <w:rPr>
          <w:color w:val="0E101A"/>
        </w:rPr>
        <w:t> </w:t>
      </w:r>
      <w:r w:rsidR="008A0FC3">
        <w:rPr>
          <w:color w:val="0E101A"/>
        </w:rPr>
        <w:t>An example is where the psalmist cries, “</w:t>
      </w:r>
      <w:r w:rsidR="008A0FC3" w:rsidRPr="008A0FC3">
        <w:rPr>
          <w:color w:val="0E101A"/>
        </w:rPr>
        <w:t>He loved to pronounce a curse— may it come back on him.</w:t>
      </w:r>
      <w:r w:rsidR="008A0FC3">
        <w:rPr>
          <w:color w:val="0E101A"/>
        </w:rPr>
        <w:t xml:space="preserve"> </w:t>
      </w:r>
      <w:r w:rsidR="008A0FC3" w:rsidRPr="008A0FC3">
        <w:rPr>
          <w:color w:val="0E101A"/>
        </w:rPr>
        <w:t>He found no pleasure in blessing—may it be far from him</w:t>
      </w:r>
      <w:r w:rsidR="008A0FC3">
        <w:rPr>
          <w:color w:val="0E101A"/>
        </w:rPr>
        <w:t>” (Ps. 109:7, NIV).</w:t>
      </w:r>
      <w:r w:rsidR="008A0FC3" w:rsidRPr="00D9472B">
        <w:rPr>
          <w:rStyle w:val="FootnoteReference"/>
          <w:color w:val="000000"/>
          <w:shd w:val="clear" w:color="auto" w:fill="FFFFFF"/>
        </w:rPr>
        <w:footnoteReference w:id="2"/>
      </w:r>
      <w:r w:rsidR="008A0FC3">
        <w:rPr>
          <w:color w:val="0E101A"/>
        </w:rPr>
        <w:t> </w:t>
      </w:r>
      <w:r w:rsidR="008A0FC3">
        <w:rPr>
          <w:color w:val="0E101A"/>
        </w:rPr>
        <w:t>From this example, r</w:t>
      </w:r>
      <w:r>
        <w:rPr>
          <w:color w:val="0E101A"/>
        </w:rPr>
        <w:t>ather than just expressing their emotions, the psalmist want</w:t>
      </w:r>
      <w:r w:rsidR="008A0FC3">
        <w:rPr>
          <w:color w:val="0E101A"/>
        </w:rPr>
        <w:t>s</w:t>
      </w:r>
      <w:r>
        <w:rPr>
          <w:color w:val="0E101A"/>
        </w:rPr>
        <w:t xml:space="preserve"> God to intervene. </w:t>
      </w:r>
      <w:r w:rsidR="008A0FC3">
        <w:rPr>
          <w:color w:val="0E101A"/>
        </w:rPr>
        <w:t>He</w:t>
      </w:r>
      <w:r>
        <w:rPr>
          <w:color w:val="0E101A"/>
        </w:rPr>
        <w:t xml:space="preserve"> want</w:t>
      </w:r>
      <w:r w:rsidR="008A0FC3">
        <w:rPr>
          <w:color w:val="0E101A"/>
        </w:rPr>
        <w:t>s</w:t>
      </w:r>
      <w:r>
        <w:rPr>
          <w:color w:val="0E101A"/>
        </w:rPr>
        <w:t xml:space="preserve"> YHWH to punish the adversary, to bring on the adversary dismay commensurate with the trouble the adversary has caused.”</w:t>
      </w:r>
      <w:r w:rsidRPr="00D9472B">
        <w:rPr>
          <w:rStyle w:val="FootnoteReference"/>
        </w:rPr>
        <w:footnoteReference w:id="3"/>
      </w:r>
      <w:r>
        <w:t xml:space="preserve"> </w:t>
      </w:r>
      <w:r>
        <w:rPr>
          <w:color w:val="0E101A"/>
        </w:rPr>
        <w:t>Dr. Ed Hindson avers that these psalms give us an insight into what the people were actually thinking, feeling, and experiencing.</w:t>
      </w:r>
      <w:r w:rsidRPr="00D9472B">
        <w:rPr>
          <w:rStyle w:val="FootnoteReference"/>
        </w:rPr>
        <w:footnoteReference w:id="4"/>
      </w:r>
      <w:r>
        <w:rPr>
          <w:color w:val="0E101A"/>
        </w:rPr>
        <w:t> Similarly, Daniel J. Estes avers, “Just as a greeting card enables us to express our emotions in words better than we could have composed on our own, so also the psalms lend their language to state feelings that otherwise could not be articulated with clarity.</w:t>
      </w:r>
      <w:r w:rsidRPr="00D9472B">
        <w:rPr>
          <w:rStyle w:val="FootnoteReference"/>
        </w:rPr>
        <w:footnoteReference w:id="5"/>
      </w:r>
    </w:p>
    <w:p w14:paraId="04A37CB2" w14:textId="7771922A" w:rsidR="0029757A" w:rsidRDefault="0029757A" w:rsidP="0029757A">
      <w:pPr>
        <w:pStyle w:val="NormalWeb"/>
        <w:spacing w:before="240" w:beforeAutospacing="0" w:after="0" w:afterAutospacing="0"/>
        <w:rPr>
          <w:color w:val="0E101A"/>
        </w:rPr>
      </w:pPr>
      <w:r>
        <w:rPr>
          <w:color w:val="0E101A"/>
        </w:rPr>
        <w:t xml:space="preserve">For this reason, I do not think they contradict what Jesus taught. Jesus himself declared that we are to love God with all our souls, which includes our emotions (Mt. 22:37). I strongly believe that praying out to God what we feel in our hearts is a step closer to intimacy with </w:t>
      </w:r>
      <w:r>
        <w:rPr>
          <w:color w:val="0E101A"/>
        </w:rPr>
        <w:t>him</w:t>
      </w:r>
      <w:r>
        <w:rPr>
          <w:color w:val="0E101A"/>
        </w:rPr>
        <w:t>. Without a shadow of a doubt, it demonstrates an enviable intimacy. Therefore, what does it mean to “turn the other cheek’? In my humble view, a plausible contextual interpretation of “turn the other cheek” in Matthew 5:38-40 is that we are not supposed to take matters into our own hands and revenge when people wrong us. Rather</w:t>
      </w:r>
      <w:r>
        <w:rPr>
          <w:color w:val="0E101A"/>
        </w:rPr>
        <w:t>,</w:t>
      </w:r>
      <w:r>
        <w:rPr>
          <w:color w:val="0E101A"/>
        </w:rPr>
        <w:t xml:space="preserve"> </w:t>
      </w:r>
      <w:r>
        <w:rPr>
          <w:color w:val="0E101A"/>
        </w:rPr>
        <w:t>w</w:t>
      </w:r>
      <w:r>
        <w:rPr>
          <w:color w:val="0E101A"/>
        </w:rPr>
        <w:t>e are to leave it to God. We are free to tell God how we have been wronged and ask for his redress, but ultimately he should be the one that decides what to do with those that have wronged us. Deuteronomy 32:35 and Romans 12:19 both concur that we should leave vengeance for God. It is God’s responsibility to right our wrongs. Paul knew about this. Writing his second letter to Timothy, he expresses himself and relays his experiences with Alexander. He says, “Alexander, the metalworker did me a great deal of harm. The Lord will repay him for what he has done” (2 Tim 4:9).</w:t>
      </w:r>
    </w:p>
    <w:p w14:paraId="0EF362B4" w14:textId="223BF019" w:rsidR="0029757A" w:rsidRDefault="0029757A" w:rsidP="0029757A">
      <w:pPr>
        <w:pStyle w:val="NormalWeb"/>
        <w:spacing w:before="240" w:beforeAutospacing="0" w:after="0" w:afterAutospacing="0"/>
        <w:rPr>
          <w:color w:val="0E101A"/>
        </w:rPr>
      </w:pPr>
      <w:r>
        <w:rPr>
          <w:color w:val="0E101A"/>
        </w:rPr>
        <w:t xml:space="preserve">The application of the imprecatory psalms in the twenty-first century is quite murky though it should not be. Often we are discouraged from taking matters into our own hands. And yet also, we are considered brave if we defend ourselves. We are encouraged to seek court redress but also warned from taking believers to court. No wonder some denominations have insisted on strict interpretations of the Bible in which they discard any form of vengeance. Such denominations deduce from 2 Corinthians 6:1-6 that God is against taking anyone to court. From Matthew 5:38-40, they judge that God is against self-defense and revenge. What is clear, </w:t>
      </w:r>
      <w:r>
        <w:rPr>
          <w:color w:val="0E101A"/>
        </w:rPr>
        <w:lastRenderedPageBreak/>
        <w:t>however, is that we should not stifle imprecatory psalms. That being said, we should be comfortable telling God how we feel but, in the back of our minds, emulate Christ’s example of praying for forgiveness to those who persecute us. In the beautiful sermon on the mount, Jesus said, “Love your enemies, do good to those who hate you, bless those who curse you, pray for those who mistreat you” (Lk 6:27-28). Here Jesus was introducing a radical shift from what is good to what is best. Yes, it is okay for a person to pray imprecation</w:t>
      </w:r>
      <w:r>
        <w:rPr>
          <w:color w:val="0E101A"/>
        </w:rPr>
        <w:t xml:space="preserve"> upon their enemies</w:t>
      </w:r>
      <w:r>
        <w:rPr>
          <w:color w:val="0E101A"/>
        </w:rPr>
        <w:t xml:space="preserve">, but it is </w:t>
      </w:r>
      <w:r w:rsidR="0069440B">
        <w:rPr>
          <w:color w:val="0E101A"/>
        </w:rPr>
        <w:t>more Christlike</w:t>
      </w:r>
      <w:r>
        <w:rPr>
          <w:color w:val="0E101A"/>
        </w:rPr>
        <w:t xml:space="preserve"> to ask </w:t>
      </w:r>
      <w:r>
        <w:rPr>
          <w:color w:val="0E101A"/>
        </w:rPr>
        <w:t>God</w:t>
      </w:r>
      <w:r>
        <w:rPr>
          <w:color w:val="0E101A"/>
        </w:rPr>
        <w:t xml:space="preserve"> to forgive them.</w:t>
      </w:r>
    </w:p>
    <w:p w14:paraId="0EBA1542" w14:textId="0429EA80" w:rsidR="00645491" w:rsidRPr="00D9472B" w:rsidRDefault="00645491" w:rsidP="0029757A">
      <w:pPr>
        <w:spacing w:before="240"/>
        <w:rPr>
          <w:rFonts w:ascii="Times New Roman" w:hAnsi="Times New Roman" w:cs="Times New Roman"/>
          <w:sz w:val="24"/>
          <w:szCs w:val="24"/>
        </w:rPr>
      </w:pPr>
    </w:p>
    <w:sectPr w:rsidR="00645491" w:rsidRPr="00D947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25B37" w14:textId="77777777" w:rsidR="00AD2143" w:rsidRDefault="00AD2143" w:rsidP="00A72B89">
      <w:pPr>
        <w:spacing w:after="0" w:line="240" w:lineRule="auto"/>
      </w:pPr>
      <w:r>
        <w:separator/>
      </w:r>
    </w:p>
  </w:endnote>
  <w:endnote w:type="continuationSeparator" w:id="0">
    <w:p w14:paraId="52AB0E89" w14:textId="77777777" w:rsidR="00AD2143" w:rsidRDefault="00AD2143" w:rsidP="00A72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82F05" w14:textId="77777777" w:rsidR="00AD2143" w:rsidRDefault="00AD2143" w:rsidP="00A72B89">
      <w:pPr>
        <w:spacing w:after="0" w:line="240" w:lineRule="auto"/>
      </w:pPr>
      <w:r>
        <w:separator/>
      </w:r>
    </w:p>
  </w:footnote>
  <w:footnote w:type="continuationSeparator" w:id="0">
    <w:p w14:paraId="5250B4C1" w14:textId="77777777" w:rsidR="00AD2143" w:rsidRDefault="00AD2143" w:rsidP="00A72B89">
      <w:pPr>
        <w:spacing w:after="0" w:line="240" w:lineRule="auto"/>
      </w:pPr>
      <w:r>
        <w:continuationSeparator/>
      </w:r>
    </w:p>
  </w:footnote>
  <w:footnote w:id="1">
    <w:p w14:paraId="5586E94D" w14:textId="77777777" w:rsidR="0029757A" w:rsidRPr="00D9472B" w:rsidRDefault="0029757A" w:rsidP="0029757A">
      <w:pPr>
        <w:pStyle w:val="FootnoteText"/>
        <w:spacing w:before="240"/>
        <w:ind w:firstLine="720"/>
        <w:rPr>
          <w:rFonts w:ascii="Times New Roman" w:hAnsi="Times New Roman" w:cs="Times New Roman"/>
        </w:rPr>
      </w:pPr>
      <w:r>
        <w:rPr>
          <w:rStyle w:val="FootnoteReference"/>
        </w:rPr>
        <w:footnoteRef/>
      </w:r>
      <w:r>
        <w:t xml:space="preserve"> </w:t>
      </w:r>
      <w:r w:rsidRPr="00D9472B">
        <w:rPr>
          <w:rFonts w:ascii="Times New Roman" w:hAnsi="Times New Roman" w:cs="Times New Roman"/>
        </w:rPr>
        <w:t xml:space="preserve">Walter Brueggemann, and William H. Bellinger, Jr., </w:t>
      </w:r>
      <w:r w:rsidRPr="00D9472B">
        <w:rPr>
          <w:rFonts w:ascii="Times New Roman" w:hAnsi="Times New Roman" w:cs="Times New Roman"/>
          <w:i/>
          <w:iCs/>
        </w:rPr>
        <w:t>Psalms</w:t>
      </w:r>
      <w:r w:rsidRPr="00D9472B">
        <w:rPr>
          <w:rFonts w:ascii="Times New Roman" w:hAnsi="Times New Roman" w:cs="Times New Roman"/>
        </w:rPr>
        <w:t xml:space="preserve">: </w:t>
      </w:r>
      <w:r w:rsidRPr="00D9472B">
        <w:rPr>
          <w:rFonts w:ascii="Times New Roman" w:hAnsi="Times New Roman" w:cs="Times New Roman"/>
          <w:i/>
          <w:iCs/>
        </w:rPr>
        <w:t>New Cambridge Bible Commentary</w:t>
      </w:r>
      <w:r w:rsidRPr="00D9472B">
        <w:rPr>
          <w:rFonts w:ascii="Times New Roman" w:hAnsi="Times New Roman" w:cs="Times New Roman"/>
        </w:rPr>
        <w:t xml:space="preserve"> (Cambridge: Cambridge University Press, 2014), 174.</w:t>
      </w:r>
    </w:p>
  </w:footnote>
  <w:footnote w:id="2">
    <w:p w14:paraId="50F76ACB" w14:textId="77777777" w:rsidR="008A0FC3" w:rsidRPr="00D9472B" w:rsidRDefault="008A0FC3" w:rsidP="008A0FC3">
      <w:pPr>
        <w:pStyle w:val="FootnoteText"/>
        <w:spacing w:before="240"/>
        <w:ind w:firstLine="720"/>
        <w:rPr>
          <w:rFonts w:ascii="Times New Roman" w:hAnsi="Times New Roman" w:cs="Times New Roman"/>
        </w:rPr>
      </w:pPr>
      <w:r w:rsidRPr="00D9472B">
        <w:rPr>
          <w:rStyle w:val="FootnoteReference"/>
          <w:rFonts w:ascii="Times New Roman" w:hAnsi="Times New Roman" w:cs="Times New Roman"/>
        </w:rPr>
        <w:footnoteRef/>
      </w:r>
      <w:r w:rsidRPr="00D9472B">
        <w:rPr>
          <w:rFonts w:ascii="Times New Roman" w:hAnsi="Times New Roman" w:cs="Times New Roman"/>
        </w:rPr>
        <w:t xml:space="preserve"> Unless otherwise noted, all biblical passages referenced are in the New International Version (Grand Rapids, MI: Zondervan, 2011).</w:t>
      </w:r>
    </w:p>
  </w:footnote>
  <w:footnote w:id="3">
    <w:p w14:paraId="4B4A9DE8" w14:textId="46AF8470" w:rsidR="0029757A" w:rsidRPr="00D9472B" w:rsidRDefault="0029757A" w:rsidP="0029757A">
      <w:pPr>
        <w:pStyle w:val="FootnoteText"/>
        <w:spacing w:before="240"/>
        <w:ind w:firstLine="720"/>
        <w:rPr>
          <w:rFonts w:ascii="Times New Roman" w:hAnsi="Times New Roman" w:cs="Times New Roman"/>
        </w:rPr>
      </w:pPr>
      <w:r w:rsidRPr="00D9472B">
        <w:rPr>
          <w:rStyle w:val="FootnoteReference"/>
          <w:rFonts w:ascii="Times New Roman" w:hAnsi="Times New Roman" w:cs="Times New Roman"/>
        </w:rPr>
        <w:footnoteRef/>
      </w:r>
      <w:r w:rsidR="00D61C08">
        <w:rPr>
          <w:rFonts w:ascii="Times New Roman" w:hAnsi="Times New Roman" w:cs="Times New Roman"/>
        </w:rPr>
        <w:t xml:space="preserve"> </w:t>
      </w:r>
      <w:r w:rsidR="00D61C08" w:rsidRPr="00D9472B">
        <w:rPr>
          <w:rFonts w:ascii="Times New Roman" w:hAnsi="Times New Roman" w:cs="Times New Roman"/>
        </w:rPr>
        <w:t>Brueggemann</w:t>
      </w:r>
      <w:r w:rsidR="00D61C08">
        <w:rPr>
          <w:rFonts w:ascii="Times New Roman" w:hAnsi="Times New Roman" w:cs="Times New Roman"/>
        </w:rPr>
        <w:t>,</w:t>
      </w:r>
      <w:r w:rsidRPr="00D9472B">
        <w:rPr>
          <w:rFonts w:ascii="Times New Roman" w:hAnsi="Times New Roman" w:cs="Times New Roman"/>
        </w:rPr>
        <w:t xml:space="preserve"> </w:t>
      </w:r>
      <w:r w:rsidR="00D61C08" w:rsidRPr="00D9472B">
        <w:rPr>
          <w:rFonts w:ascii="Times New Roman" w:hAnsi="Times New Roman" w:cs="Times New Roman"/>
          <w:i/>
          <w:iCs/>
        </w:rPr>
        <w:t>Psalms</w:t>
      </w:r>
      <w:r w:rsidR="00D61C08">
        <w:rPr>
          <w:rFonts w:ascii="Times New Roman" w:hAnsi="Times New Roman" w:cs="Times New Roman"/>
          <w:i/>
          <w:iCs/>
        </w:rPr>
        <w:t>,</w:t>
      </w:r>
      <w:r w:rsidR="00D61C08" w:rsidRPr="00D9472B">
        <w:rPr>
          <w:rFonts w:ascii="Times New Roman" w:hAnsi="Times New Roman" w:cs="Times New Roman"/>
        </w:rPr>
        <w:t xml:space="preserve"> </w:t>
      </w:r>
      <w:r w:rsidRPr="00D9472B">
        <w:rPr>
          <w:rFonts w:ascii="Times New Roman" w:hAnsi="Times New Roman" w:cs="Times New Roman"/>
        </w:rPr>
        <w:t>174.</w:t>
      </w:r>
    </w:p>
  </w:footnote>
  <w:footnote w:id="4">
    <w:p w14:paraId="1078B192" w14:textId="77777777" w:rsidR="0029757A" w:rsidRPr="00D9472B" w:rsidRDefault="0029757A" w:rsidP="0029757A">
      <w:pPr>
        <w:pStyle w:val="FootnoteText"/>
        <w:spacing w:before="240"/>
        <w:ind w:firstLine="720"/>
        <w:rPr>
          <w:rFonts w:ascii="Times New Roman" w:hAnsi="Times New Roman" w:cs="Times New Roman"/>
        </w:rPr>
      </w:pPr>
      <w:r w:rsidRPr="00D9472B">
        <w:rPr>
          <w:rStyle w:val="FootnoteReference"/>
          <w:rFonts w:ascii="Times New Roman" w:hAnsi="Times New Roman" w:cs="Times New Roman"/>
        </w:rPr>
        <w:footnoteRef/>
      </w:r>
      <w:r w:rsidRPr="00D9472B">
        <w:rPr>
          <w:rFonts w:ascii="Times New Roman" w:hAnsi="Times New Roman" w:cs="Times New Roman"/>
        </w:rPr>
        <w:t xml:space="preserve"> Ed Hindson, “Psalms” (Course video in OBST 520 at Liberty University, Lynchburg, VA, October 27, 2021).</w:t>
      </w:r>
    </w:p>
  </w:footnote>
  <w:footnote w:id="5">
    <w:p w14:paraId="36806366" w14:textId="77777777" w:rsidR="0029757A" w:rsidRPr="00D9472B" w:rsidRDefault="0029757A" w:rsidP="0029757A">
      <w:pPr>
        <w:pStyle w:val="FootnoteText"/>
        <w:spacing w:before="240"/>
        <w:ind w:firstLine="720"/>
        <w:rPr>
          <w:rFonts w:ascii="Times New Roman" w:hAnsi="Times New Roman" w:cs="Times New Roman"/>
        </w:rPr>
      </w:pPr>
      <w:r w:rsidRPr="00D9472B">
        <w:rPr>
          <w:rStyle w:val="FootnoteReference"/>
          <w:rFonts w:ascii="Times New Roman" w:hAnsi="Times New Roman" w:cs="Times New Roman"/>
        </w:rPr>
        <w:footnoteRef/>
      </w:r>
      <w:r w:rsidRPr="00D9472B">
        <w:rPr>
          <w:rFonts w:ascii="Times New Roman" w:hAnsi="Times New Roman" w:cs="Times New Roman"/>
        </w:rPr>
        <w:t xml:space="preserve"> </w:t>
      </w:r>
      <w:r w:rsidRPr="00D9472B">
        <w:rPr>
          <w:rFonts w:ascii="Times New Roman" w:hAnsi="Times New Roman" w:cs="Times New Roman"/>
          <w:color w:val="212529"/>
          <w:shd w:val="clear" w:color="auto" w:fill="FFFFFF"/>
        </w:rPr>
        <w:t xml:space="preserve">Daniel J. Estes, </w:t>
      </w:r>
      <w:r w:rsidRPr="00D9472B">
        <w:rPr>
          <w:rStyle w:val="Emphasis"/>
          <w:rFonts w:ascii="Times New Roman" w:hAnsi="Times New Roman" w:cs="Times New Roman"/>
          <w:color w:val="212529"/>
          <w:shd w:val="clear" w:color="auto" w:fill="FFFFFF"/>
        </w:rPr>
        <w:t>Handbook on the Wisdom Books and Psalms</w:t>
      </w:r>
      <w:r w:rsidRPr="00D9472B">
        <w:rPr>
          <w:rFonts w:ascii="Times New Roman" w:hAnsi="Times New Roman" w:cs="Times New Roman"/>
          <w:color w:val="212529"/>
          <w:shd w:val="clear" w:color="auto" w:fill="FFFFFF"/>
        </w:rPr>
        <w:t xml:space="preserve"> (Grand Rapids, MI: Baker Publishing,2010), 152.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655FB"/>
    <w:multiLevelType w:val="multilevel"/>
    <w:tmpl w:val="6DAE4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A6A"/>
    <w:rsid w:val="00117AFF"/>
    <w:rsid w:val="001B6A6C"/>
    <w:rsid w:val="001E21F9"/>
    <w:rsid w:val="0029757A"/>
    <w:rsid w:val="003851CB"/>
    <w:rsid w:val="00414037"/>
    <w:rsid w:val="005E1FCB"/>
    <w:rsid w:val="00645491"/>
    <w:rsid w:val="00652BA6"/>
    <w:rsid w:val="0066139E"/>
    <w:rsid w:val="0069440B"/>
    <w:rsid w:val="006C1BCE"/>
    <w:rsid w:val="006C6957"/>
    <w:rsid w:val="006E0349"/>
    <w:rsid w:val="008A0FC3"/>
    <w:rsid w:val="009B3F1E"/>
    <w:rsid w:val="00A72B89"/>
    <w:rsid w:val="00A962FF"/>
    <w:rsid w:val="00AD2143"/>
    <w:rsid w:val="00B97F4E"/>
    <w:rsid w:val="00D15367"/>
    <w:rsid w:val="00D326A8"/>
    <w:rsid w:val="00D61C08"/>
    <w:rsid w:val="00D9472B"/>
    <w:rsid w:val="00DE4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C8771"/>
  <w15:chartTrackingRefBased/>
  <w15:docId w15:val="{A537072B-7A93-40B4-A785-6E15D0018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72B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2B89"/>
    <w:rPr>
      <w:sz w:val="20"/>
      <w:szCs w:val="20"/>
    </w:rPr>
  </w:style>
  <w:style w:type="character" w:styleId="FootnoteReference">
    <w:name w:val="footnote reference"/>
    <w:basedOn w:val="DefaultParagraphFont"/>
    <w:uiPriority w:val="99"/>
    <w:semiHidden/>
    <w:unhideWhenUsed/>
    <w:rsid w:val="00A72B89"/>
    <w:rPr>
      <w:vertAlign w:val="superscript"/>
    </w:rPr>
  </w:style>
  <w:style w:type="character" w:styleId="Emphasis">
    <w:name w:val="Emphasis"/>
    <w:basedOn w:val="DefaultParagraphFont"/>
    <w:uiPriority w:val="20"/>
    <w:qFormat/>
    <w:rsid w:val="00A962FF"/>
    <w:rPr>
      <w:i/>
      <w:iCs/>
    </w:rPr>
  </w:style>
  <w:style w:type="paragraph" w:styleId="NormalWeb">
    <w:name w:val="Normal (Web)"/>
    <w:basedOn w:val="Normal"/>
    <w:uiPriority w:val="99"/>
    <w:semiHidden/>
    <w:unhideWhenUsed/>
    <w:rsid w:val="002975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975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626">
      <w:bodyDiv w:val="1"/>
      <w:marLeft w:val="0"/>
      <w:marRight w:val="0"/>
      <w:marTop w:val="0"/>
      <w:marBottom w:val="0"/>
      <w:divBdr>
        <w:top w:val="none" w:sz="0" w:space="0" w:color="auto"/>
        <w:left w:val="none" w:sz="0" w:space="0" w:color="auto"/>
        <w:bottom w:val="none" w:sz="0" w:space="0" w:color="auto"/>
        <w:right w:val="none" w:sz="0" w:space="0" w:color="auto"/>
      </w:divBdr>
    </w:div>
    <w:div w:id="1196194701">
      <w:bodyDiv w:val="1"/>
      <w:marLeft w:val="0"/>
      <w:marRight w:val="0"/>
      <w:marTop w:val="0"/>
      <w:marBottom w:val="0"/>
      <w:divBdr>
        <w:top w:val="none" w:sz="0" w:space="0" w:color="auto"/>
        <w:left w:val="none" w:sz="0" w:space="0" w:color="auto"/>
        <w:bottom w:val="none" w:sz="0" w:space="0" w:color="auto"/>
        <w:right w:val="none" w:sz="0" w:space="0" w:color="auto"/>
      </w:divBdr>
    </w:div>
    <w:div w:id="144457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421F186-2953-419D-B542-FA4F507D5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2</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2021-10-27T19:45:00Z</dcterms:created>
  <dcterms:modified xsi:type="dcterms:W3CDTF">2021-10-28T20:57:00Z</dcterms:modified>
</cp:coreProperties>
</file>