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92902" w14:textId="271FCC9F" w:rsidR="00951223" w:rsidRDefault="00951223" w:rsidP="00962EA4">
      <w:pPr>
        <w:pStyle w:val="NormalWeb"/>
        <w:spacing w:before="240" w:beforeAutospacing="0" w:after="0" w:afterAutospacing="0"/>
        <w:rPr>
          <w:color w:val="0E101A"/>
        </w:rPr>
      </w:pPr>
      <w:r>
        <w:rPr>
          <w:color w:val="0E101A"/>
        </w:rPr>
        <w:t xml:space="preserve">The book Song of Songs reminds me of my teenage years. Growing up as a naïve teenager, at one point, I picked up teaching that demonized sex. Some preachers who frequented our church taught that the fruit Adam and Eve ate was not literal but rather the forbidden act of sex. Besides, these youth leaders also had a different way of interpreting the Song of Songs. Constantly they told us that it was false to suggest that Song of Songs talked about sexual intimacy. Instead, they argued that the book of Song of Songs mirrored a relationship between Christ and his church. Back then, I did not question this teaching. But one thing is for sure, not only did it scare me from having sex, but also it shaped how I read Song of Songs. With the new lens we had been given, it was taboo to think of sexual intimacy when talking about Song of Songs. Our youth leaders had made us view the physical body and sex as sinful, and replaced them with nonphysical sacred parallels. And that is how I was introduced to </w:t>
      </w:r>
      <w:r w:rsidR="003D3834">
        <w:rPr>
          <w:color w:val="0E101A"/>
        </w:rPr>
        <w:t>allegorizing</w:t>
      </w:r>
      <w:r>
        <w:rPr>
          <w:color w:val="0E101A"/>
        </w:rPr>
        <w:t xml:space="preserve"> Song of Songs. As Daniel J. Estes puts it, “allegory denies or ignores the historicity or factualness of the Old Testament account and imposes a deeper, hidden or spiritual meaning on the text."</w:t>
      </w:r>
      <w:r w:rsidRPr="00896C8B">
        <w:rPr>
          <w:rStyle w:val="FootnoteReference"/>
        </w:rPr>
        <w:footnoteReference w:id="1"/>
      </w:r>
      <w:r>
        <w:rPr>
          <w:color w:val="0E101A"/>
        </w:rPr>
        <w:t> Fortunately, in my adulthood, I have come to know better. </w:t>
      </w:r>
    </w:p>
    <w:p w14:paraId="1DC707AC" w14:textId="1EBC5692" w:rsidR="00951223" w:rsidRDefault="00951223" w:rsidP="00962EA4">
      <w:pPr>
        <w:pStyle w:val="NormalWeb"/>
        <w:spacing w:before="240" w:beforeAutospacing="0" w:after="0" w:afterAutospacing="0"/>
        <w:rPr>
          <w:color w:val="0E101A"/>
        </w:rPr>
      </w:pPr>
      <w:r>
        <w:rPr>
          <w:color w:val="0E101A"/>
        </w:rPr>
        <w:t xml:space="preserve">In my understanding, when it comes to interpreting scripture, first and foremost, we have to look at the context of the portion of scripture. Especially, we have to ask ourselves what was the author’s original intended meaning. Also, we could ask if the author had more than one intention for writing. According to </w:t>
      </w:r>
      <w:r w:rsidR="003D3834">
        <w:rPr>
          <w:color w:val="0E101A"/>
        </w:rPr>
        <w:t>I</w:t>
      </w:r>
      <w:r>
        <w:rPr>
          <w:color w:val="0E101A"/>
        </w:rPr>
        <w:t>ain Provan, “Authors need not have only one aim in writing or only one intention in the words they use.”</w:t>
      </w:r>
      <w:r w:rsidRPr="00896C8B">
        <w:rPr>
          <w:rStyle w:val="FootnoteReference"/>
          <w:shd w:val="clear" w:color="auto" w:fill="FFFFFF"/>
        </w:rPr>
        <w:footnoteReference w:id="2"/>
      </w:r>
      <w:r>
        <w:rPr>
          <w:color w:val="0E101A"/>
        </w:rPr>
        <w:t> </w:t>
      </w:r>
      <w:r w:rsidR="003D3834">
        <w:rPr>
          <w:color w:val="0E101A"/>
        </w:rPr>
        <w:t xml:space="preserve">Thus, </w:t>
      </w:r>
      <w:r>
        <w:rPr>
          <w:color w:val="0E101A"/>
        </w:rPr>
        <w:t>Song of Songs should neither be read purely allegorically, historically nor literally. To read it allegorically alone poses potential problems. Daniel J. Estes avers, “Allegory introduces a large element of subjectivism into the interpretation.”</w:t>
      </w:r>
      <w:r w:rsidRPr="00896C8B">
        <w:rPr>
          <w:rStyle w:val="FootnoteReference"/>
        </w:rPr>
        <w:footnoteReference w:id="3"/>
      </w:r>
      <w:r>
        <w:rPr>
          <w:color w:val="0E101A"/>
        </w:rPr>
        <w:t> A person reading the Bible through the eyes of pure allegory is likely to read into the text and make it say what they want it to say. That said, when we consider the language used elsewhere in the Old Testament of the God-human relationship, it becomes clear that we cannot rule out the possibility that allegory was at least partly in the mind of the author of this song.</w:t>
      </w:r>
      <w:r w:rsidRPr="00896C8B">
        <w:rPr>
          <w:rStyle w:val="FootnoteReference"/>
        </w:rPr>
        <w:footnoteReference w:id="4"/>
      </w:r>
      <w:r>
        <w:rPr>
          <w:color w:val="0E101A"/>
        </w:rPr>
        <w:t> </w:t>
      </w:r>
    </w:p>
    <w:p w14:paraId="3A882C68" w14:textId="58523727" w:rsidR="00951223" w:rsidRDefault="00951223" w:rsidP="00962EA4">
      <w:pPr>
        <w:pStyle w:val="NormalWeb"/>
        <w:spacing w:before="240" w:beforeAutospacing="0" w:after="0" w:afterAutospacing="0"/>
        <w:rPr>
          <w:color w:val="0E101A"/>
        </w:rPr>
      </w:pPr>
      <w:r>
        <w:rPr>
          <w:color w:val="0E101A"/>
        </w:rPr>
        <w:t xml:space="preserve">Reading Song of Songs historically gives us a deeper understanding of events surrounding the author’s life. We can be able to look at the cultural settings of the time and obtain a refined interpretation. </w:t>
      </w:r>
      <w:r w:rsidR="003D3834">
        <w:rPr>
          <w:color w:val="0E101A"/>
        </w:rPr>
        <w:t>In this context, t</w:t>
      </w:r>
      <w:r>
        <w:rPr>
          <w:color w:val="0E101A"/>
        </w:rPr>
        <w:t xml:space="preserve">he reader will benefit from reading the book from the lens of Hebrew or Jewish cultural settings. For instance, the weights mentioned in (8:11-12) do not make sense unless one knows ancient Jewish measurements. In addition, since Song of Songs is a poem, Estes avers, “The reader must enter imaginatively into the literary world of the author. Only those who are willing to enter the author’s ideational world will be able to experience anew </w:t>
      </w:r>
      <w:r>
        <w:rPr>
          <w:color w:val="0E101A"/>
        </w:rPr>
        <w:lastRenderedPageBreak/>
        <w:t>the emotions that prompted this song.”</w:t>
      </w:r>
      <w:r w:rsidRPr="00896C8B">
        <w:rPr>
          <w:rStyle w:val="FootnoteReference"/>
        </w:rPr>
        <w:footnoteReference w:id="5"/>
      </w:r>
      <w:r>
        <w:rPr>
          <w:color w:val="0E101A"/>
        </w:rPr>
        <w:t> Nevertheless, using the historical approach has some shortcomings. One of those is that it fails to make the scriptures relevant to the present-day context. Moving on, it is more accurate to read the book literally. The book is about a man and a woman intoxicated with love. The two characters paint a picture of how intimacy looks from the start of a relationship through the courtship to life after the wedding.  </w:t>
      </w:r>
    </w:p>
    <w:p w14:paraId="151C72F7" w14:textId="09DB5277" w:rsidR="00951223" w:rsidRDefault="003D3834" w:rsidP="00962EA4">
      <w:pPr>
        <w:pStyle w:val="NormalWeb"/>
        <w:spacing w:before="240" w:beforeAutospacing="0" w:after="0" w:afterAutospacing="0"/>
        <w:rPr>
          <w:color w:val="0E101A"/>
        </w:rPr>
      </w:pPr>
      <w:r>
        <w:rPr>
          <w:color w:val="0E101A"/>
        </w:rPr>
        <w:t>F</w:t>
      </w:r>
      <w:r w:rsidR="00962EA4">
        <w:rPr>
          <w:color w:val="0E101A"/>
        </w:rPr>
        <w:t>urther still</w:t>
      </w:r>
      <w:r>
        <w:rPr>
          <w:color w:val="0E101A"/>
        </w:rPr>
        <w:t xml:space="preserve"> is the typological approach. </w:t>
      </w:r>
      <w:r w:rsidR="00951223">
        <w:rPr>
          <w:color w:val="0E101A"/>
        </w:rPr>
        <w:t xml:space="preserve">In my view, </w:t>
      </w:r>
      <w:r w:rsidR="00962EA4">
        <w:rPr>
          <w:color w:val="0E101A"/>
        </w:rPr>
        <w:t xml:space="preserve">this is </w:t>
      </w:r>
      <w:r w:rsidR="00951223">
        <w:rPr>
          <w:color w:val="0E101A"/>
        </w:rPr>
        <w:t>the most accurate of all the approaches. I say this because it brings to balance the extremes of allegorical and literal interpretation approaches. According to Daniel Estes, it not only follows the approach of allegory in developing spiritual parallels, but it also endeavors to retain more objective controls by retaining the literal sense as well. Christians of earlier times lived in a culture that made it difficult for them to recognize a song about human love and sexual intimacy as being at the same time a spiritual song.</w:t>
      </w:r>
      <w:r w:rsidR="00951223" w:rsidRPr="00896C8B">
        <w:rPr>
          <w:rStyle w:val="FootnoteReference"/>
          <w:shd w:val="clear" w:color="auto" w:fill="FFFFFF"/>
        </w:rPr>
        <w:footnoteReference w:id="6"/>
      </w:r>
      <w:r w:rsidR="00951223">
        <w:rPr>
          <w:color w:val="0E101A"/>
        </w:rPr>
        <w:t> Consequently, they felt that they had to choose. Fortunately, today Christians do not need to choose between literal and allegorical interpretations. We can read the Song of Songs to teach us about marital intimacy and, also we can read it to learn one or two things about spiritual intimacy with our Lord Jesus. There should not be a dichotomy. Song of Songs should, in the literal sense, admonish us to have exclusivity in marriage. Unlike Solomon who was intimate with a thousand plus women, we should stick to one spouse. By this, we shall be true to ourselves when we say, “My beloved is mine and I am his,” (Song of Songs 2:16</w:t>
      </w:r>
      <w:r w:rsidR="00C50A0A">
        <w:rPr>
          <w:color w:val="0E101A"/>
        </w:rPr>
        <w:t>, NIV</w:t>
      </w:r>
      <w:r w:rsidR="00951223">
        <w:rPr>
          <w:color w:val="0E101A"/>
        </w:rPr>
        <w:t>).</w:t>
      </w:r>
      <w:r w:rsidR="00C50A0A">
        <w:rPr>
          <w:rStyle w:val="FootnoteReference"/>
          <w:color w:val="0E101A"/>
        </w:rPr>
        <w:footnoteReference w:id="7"/>
      </w:r>
    </w:p>
    <w:p w14:paraId="6243CE77" w14:textId="4CACD470" w:rsidR="00576A5B" w:rsidRPr="00951223" w:rsidRDefault="00951223" w:rsidP="00962EA4">
      <w:pPr>
        <w:pStyle w:val="NormalWeb"/>
        <w:spacing w:before="240" w:beforeAutospacing="0" w:after="0" w:afterAutospacing="0"/>
        <w:rPr>
          <w:color w:val="0E101A"/>
        </w:rPr>
      </w:pPr>
      <w:r>
        <w:rPr>
          <w:color w:val="0E101A"/>
        </w:rPr>
        <w:t>On whether Song of Songs has a dramatic sequence extending over time, careful analysis of the book indicates that the song’s plot mainly touches on two main characters (Solomon and his beloved). Of course, few say that there are three main characters, but there is not much evidence to support it. But many scholars agree that claiming that a young woman, who is often called Shulammith (6:13), is pursued by Solomon, but all of his fabulous enticements cannot subvert her love for her shepherd lover and so she rejects the king and embraces her true love, is a bit speculative. Estes further argues, “It is particularly difficult to divide the male speeches between the king and the shepherd.”</w:t>
      </w:r>
      <w:r w:rsidRPr="00896C8B">
        <w:rPr>
          <w:rStyle w:val="FootnoteReference"/>
        </w:rPr>
        <w:footnoteReference w:id="8"/>
      </w:r>
      <w:r>
        <w:rPr>
          <w:color w:val="0E101A"/>
        </w:rPr>
        <w:t> Also, and according to Garrett, “This view also places the woman in the peculiar situation of answering Solomon’s words by speaking to him about her true shepherd lover, which is awkward at best.”</w:t>
      </w:r>
      <w:r w:rsidRPr="00896C8B">
        <w:rPr>
          <w:rStyle w:val="FootnoteReference"/>
        </w:rPr>
        <w:footnoteReference w:id="9"/>
      </w:r>
      <w:r>
        <w:rPr>
          <w:color w:val="0E101A"/>
        </w:rPr>
        <w:t> In closing, the song, therefore, is an impressionistic drama tracing the progress of the relationship from courtship through the wedding and culminating in its growth throughout the marriage relationship into old age.</w:t>
      </w:r>
      <w:r w:rsidRPr="00896C8B">
        <w:rPr>
          <w:rStyle w:val="FootnoteReference"/>
        </w:rPr>
        <w:footnoteReference w:id="10"/>
      </w:r>
    </w:p>
    <w:p w14:paraId="2E26C4F1" w14:textId="203F6937" w:rsidR="004252F1" w:rsidRPr="00896C8B" w:rsidRDefault="004252F1" w:rsidP="00962EA4">
      <w:pPr>
        <w:spacing w:before="240"/>
        <w:rPr>
          <w:rFonts w:ascii="Times New Roman" w:eastAsia="Times New Roman" w:hAnsi="Times New Roman" w:cs="Times New Roman"/>
          <w:sz w:val="24"/>
          <w:szCs w:val="24"/>
        </w:rPr>
      </w:pPr>
    </w:p>
    <w:p w14:paraId="792B369D" w14:textId="77777777" w:rsidR="00283FD1" w:rsidRPr="00896C8B" w:rsidRDefault="00283FD1" w:rsidP="00962EA4">
      <w:pPr>
        <w:spacing w:before="240"/>
        <w:rPr>
          <w:rFonts w:ascii="Times New Roman" w:eastAsia="Times New Roman" w:hAnsi="Times New Roman" w:cs="Times New Roman"/>
          <w:sz w:val="24"/>
          <w:szCs w:val="24"/>
        </w:rPr>
      </w:pPr>
    </w:p>
    <w:p w14:paraId="171A5608" w14:textId="77777777" w:rsidR="00004BCD" w:rsidRPr="00004BCD" w:rsidRDefault="00004BCD" w:rsidP="00962EA4">
      <w:pPr>
        <w:spacing w:before="240" w:after="0" w:line="240" w:lineRule="auto"/>
        <w:rPr>
          <w:rFonts w:ascii="Times New Roman" w:eastAsia="Times New Roman" w:hAnsi="Times New Roman" w:cs="Times New Roman"/>
          <w:sz w:val="24"/>
          <w:szCs w:val="24"/>
        </w:rPr>
      </w:pPr>
    </w:p>
    <w:p w14:paraId="0F180D7A" w14:textId="40C4DAC3" w:rsidR="00871F2A" w:rsidRPr="00896C8B" w:rsidRDefault="00871F2A" w:rsidP="00962EA4">
      <w:pPr>
        <w:spacing w:before="240"/>
        <w:rPr>
          <w:rFonts w:ascii="Times New Roman" w:hAnsi="Times New Roman" w:cs="Times New Roman"/>
          <w:sz w:val="24"/>
          <w:szCs w:val="24"/>
        </w:rPr>
      </w:pPr>
    </w:p>
    <w:sectPr w:rsidR="00871F2A" w:rsidRPr="00896C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4437F" w14:textId="77777777" w:rsidR="00477FB7" w:rsidRDefault="00477FB7" w:rsidP="000F62B6">
      <w:pPr>
        <w:spacing w:after="0" w:line="240" w:lineRule="auto"/>
      </w:pPr>
      <w:r>
        <w:separator/>
      </w:r>
    </w:p>
  </w:endnote>
  <w:endnote w:type="continuationSeparator" w:id="0">
    <w:p w14:paraId="759B1065" w14:textId="77777777" w:rsidR="00477FB7" w:rsidRDefault="00477FB7" w:rsidP="000F6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BDCF1" w14:textId="77777777" w:rsidR="00477FB7" w:rsidRDefault="00477FB7" w:rsidP="000F62B6">
      <w:pPr>
        <w:spacing w:after="0" w:line="240" w:lineRule="auto"/>
      </w:pPr>
      <w:r>
        <w:separator/>
      </w:r>
    </w:p>
  </w:footnote>
  <w:footnote w:type="continuationSeparator" w:id="0">
    <w:p w14:paraId="3E7F93EE" w14:textId="77777777" w:rsidR="00477FB7" w:rsidRDefault="00477FB7" w:rsidP="000F62B6">
      <w:pPr>
        <w:spacing w:after="0" w:line="240" w:lineRule="auto"/>
      </w:pPr>
      <w:r>
        <w:continuationSeparator/>
      </w:r>
    </w:p>
  </w:footnote>
  <w:footnote w:id="1">
    <w:p w14:paraId="4B17DF15" w14:textId="77777777" w:rsidR="00951223" w:rsidRPr="003D3834" w:rsidRDefault="00951223" w:rsidP="00951223">
      <w:pPr>
        <w:pStyle w:val="FootnoteText"/>
        <w:spacing w:after="240"/>
        <w:ind w:firstLine="720"/>
        <w:rPr>
          <w:rFonts w:ascii="Times New Roman" w:hAnsi="Times New Roman" w:cs="Times New Roman"/>
        </w:rPr>
      </w:pPr>
      <w:r w:rsidRPr="006B0696">
        <w:rPr>
          <w:rStyle w:val="FootnoteReference"/>
          <w:rFonts w:ascii="Times New Roman" w:hAnsi="Times New Roman" w:cs="Times New Roman"/>
        </w:rPr>
        <w:footnoteRef/>
      </w:r>
      <w:r w:rsidRPr="006B0696">
        <w:rPr>
          <w:rFonts w:ascii="Times New Roman" w:hAnsi="Times New Roman" w:cs="Times New Roman"/>
        </w:rPr>
        <w:t xml:space="preserve"> </w:t>
      </w:r>
      <w:r w:rsidRPr="003D3834">
        <w:rPr>
          <w:rFonts w:ascii="Times New Roman" w:hAnsi="Times New Roman" w:cs="Times New Roman"/>
          <w:shd w:val="clear" w:color="auto" w:fill="FFFFFF"/>
        </w:rPr>
        <w:t xml:space="preserve">Daniel J. Estes, </w:t>
      </w:r>
      <w:r w:rsidRPr="003D3834">
        <w:rPr>
          <w:rStyle w:val="Emphasis"/>
          <w:rFonts w:ascii="Times New Roman" w:hAnsi="Times New Roman" w:cs="Times New Roman"/>
          <w:shd w:val="clear" w:color="auto" w:fill="FFFFFF"/>
        </w:rPr>
        <w:t>Handbook on the Wisdom Books and Psalms</w:t>
      </w:r>
      <w:r w:rsidRPr="003D3834">
        <w:rPr>
          <w:rFonts w:ascii="Times New Roman" w:hAnsi="Times New Roman" w:cs="Times New Roman"/>
          <w:shd w:val="clear" w:color="auto" w:fill="FFFFFF"/>
        </w:rPr>
        <w:t xml:space="preserve"> (Grand Rapids, MI: Baker Publishing,2010), 399.</w:t>
      </w:r>
    </w:p>
  </w:footnote>
  <w:footnote w:id="2">
    <w:p w14:paraId="49577A3E"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w:t>
      </w:r>
      <w:r w:rsidRPr="003D3834">
        <w:rPr>
          <w:rFonts w:ascii="Times New Roman" w:hAnsi="Times New Roman" w:cs="Times New Roman"/>
          <w:shd w:val="clear" w:color="auto" w:fill="FFFFFF"/>
        </w:rPr>
        <w:t>Iain Provan, </w:t>
      </w:r>
      <w:r w:rsidRPr="003D3834">
        <w:rPr>
          <w:rFonts w:ascii="Times New Roman" w:hAnsi="Times New Roman" w:cs="Times New Roman"/>
          <w:i/>
          <w:iCs/>
        </w:rPr>
        <w:t>Ecclesiastes, Song of Songs</w:t>
      </w:r>
      <w:r w:rsidRPr="003D3834">
        <w:rPr>
          <w:rFonts w:ascii="Times New Roman" w:hAnsi="Times New Roman" w:cs="Times New Roman"/>
          <w:shd w:val="clear" w:color="auto" w:fill="FFFFFF"/>
        </w:rPr>
        <w:t xml:space="preserve"> (Grand Rapids: HarperCollins Christian Publishing, 2001), 202. </w:t>
      </w:r>
    </w:p>
  </w:footnote>
  <w:footnote w:id="3">
    <w:p w14:paraId="3D76C165"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w:t>
      </w:r>
      <w:r w:rsidRPr="003D3834">
        <w:rPr>
          <w:rFonts w:ascii="Times New Roman" w:hAnsi="Times New Roman" w:cs="Times New Roman"/>
          <w:shd w:val="clear" w:color="auto" w:fill="FFFFFF"/>
        </w:rPr>
        <w:t xml:space="preserve">Daniel J. Estes, </w:t>
      </w:r>
      <w:r w:rsidRPr="003D3834">
        <w:rPr>
          <w:rStyle w:val="Emphasis"/>
          <w:rFonts w:ascii="Times New Roman" w:hAnsi="Times New Roman" w:cs="Times New Roman"/>
          <w:shd w:val="clear" w:color="auto" w:fill="FFFFFF"/>
        </w:rPr>
        <w:t>Handbook on the Wisdom Books and Psalms</w:t>
      </w:r>
      <w:r w:rsidRPr="003D3834">
        <w:rPr>
          <w:rFonts w:ascii="Times New Roman" w:hAnsi="Times New Roman" w:cs="Times New Roman"/>
          <w:shd w:val="clear" w:color="auto" w:fill="FFFFFF"/>
        </w:rPr>
        <w:t xml:space="preserve"> (Grand Rapids, MI: Baker Publishing,2010), 398.</w:t>
      </w:r>
    </w:p>
  </w:footnote>
  <w:footnote w:id="4">
    <w:p w14:paraId="063E62D8"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w:t>
      </w:r>
      <w:r w:rsidRPr="003D3834">
        <w:rPr>
          <w:rFonts w:ascii="Times New Roman" w:hAnsi="Times New Roman" w:cs="Times New Roman"/>
          <w:shd w:val="clear" w:color="auto" w:fill="FFFFFF"/>
        </w:rPr>
        <w:t>Provan, </w:t>
      </w:r>
      <w:r w:rsidRPr="003D3834">
        <w:rPr>
          <w:rFonts w:ascii="Times New Roman" w:hAnsi="Times New Roman" w:cs="Times New Roman"/>
          <w:i/>
          <w:iCs/>
        </w:rPr>
        <w:t xml:space="preserve">Ecclesiastes, Song of Songs, </w:t>
      </w:r>
      <w:r w:rsidRPr="003D3834">
        <w:rPr>
          <w:rFonts w:ascii="Times New Roman" w:hAnsi="Times New Roman" w:cs="Times New Roman"/>
        </w:rPr>
        <w:t>202.</w:t>
      </w:r>
    </w:p>
  </w:footnote>
  <w:footnote w:id="5">
    <w:p w14:paraId="20AD5FB8"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w:t>
      </w:r>
      <w:r w:rsidRPr="003D3834">
        <w:rPr>
          <w:rFonts w:ascii="Times New Roman" w:hAnsi="Times New Roman" w:cs="Times New Roman"/>
          <w:shd w:val="clear" w:color="auto" w:fill="FFFFFF"/>
        </w:rPr>
        <w:t xml:space="preserve">Estes, </w:t>
      </w:r>
      <w:r w:rsidRPr="003D3834">
        <w:rPr>
          <w:rStyle w:val="Emphasis"/>
          <w:rFonts w:ascii="Times New Roman" w:hAnsi="Times New Roman" w:cs="Times New Roman"/>
          <w:shd w:val="clear" w:color="auto" w:fill="FFFFFF"/>
        </w:rPr>
        <w:t>Handbook on the Wisdom Books and Psalms</w:t>
      </w:r>
      <w:r w:rsidRPr="003D3834">
        <w:rPr>
          <w:rFonts w:ascii="Times New Roman" w:hAnsi="Times New Roman" w:cs="Times New Roman"/>
        </w:rPr>
        <w:t>, 403.</w:t>
      </w:r>
    </w:p>
  </w:footnote>
  <w:footnote w:id="6">
    <w:p w14:paraId="0583A3DF"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w:t>
      </w:r>
      <w:r w:rsidRPr="003D3834">
        <w:rPr>
          <w:rFonts w:ascii="Times New Roman" w:hAnsi="Times New Roman" w:cs="Times New Roman"/>
          <w:shd w:val="clear" w:color="auto" w:fill="FFFFFF"/>
        </w:rPr>
        <w:t>Provan, </w:t>
      </w:r>
      <w:r w:rsidRPr="003D3834">
        <w:rPr>
          <w:rFonts w:ascii="Times New Roman" w:hAnsi="Times New Roman" w:cs="Times New Roman"/>
          <w:i/>
          <w:iCs/>
        </w:rPr>
        <w:t xml:space="preserve">Ecclesiastes, Song of Songs, </w:t>
      </w:r>
      <w:r w:rsidRPr="003D3834">
        <w:rPr>
          <w:rFonts w:ascii="Times New Roman" w:hAnsi="Times New Roman" w:cs="Times New Roman"/>
        </w:rPr>
        <w:t>202.</w:t>
      </w:r>
    </w:p>
  </w:footnote>
  <w:footnote w:id="7">
    <w:p w14:paraId="3DF76118" w14:textId="650A6811" w:rsidR="00C50A0A" w:rsidRDefault="00C50A0A" w:rsidP="00C50A0A">
      <w:pPr>
        <w:pStyle w:val="FootnoteText"/>
        <w:ind w:firstLine="720"/>
      </w:pPr>
      <w:r>
        <w:rPr>
          <w:rStyle w:val="FootnoteReference"/>
        </w:rPr>
        <w:footnoteRef/>
      </w:r>
      <w:r>
        <w:t xml:space="preserve"> </w:t>
      </w:r>
      <w:r w:rsidRPr="00D9472B">
        <w:rPr>
          <w:rFonts w:ascii="Times New Roman" w:hAnsi="Times New Roman" w:cs="Times New Roman"/>
        </w:rPr>
        <w:t xml:space="preserve">Unless otherwise noted, all biblical passages referenced are in the </w:t>
      </w:r>
      <w:r w:rsidRPr="00C50A0A">
        <w:rPr>
          <w:rFonts w:ascii="Times New Roman" w:hAnsi="Times New Roman" w:cs="Times New Roman"/>
          <w:i/>
          <w:iCs/>
        </w:rPr>
        <w:t>New International Version</w:t>
      </w:r>
      <w:r w:rsidRPr="00D9472B">
        <w:rPr>
          <w:rFonts w:ascii="Times New Roman" w:hAnsi="Times New Roman" w:cs="Times New Roman"/>
        </w:rPr>
        <w:t xml:space="preserve"> (Grand Rapids, MI: Zondervan, 2011).</w:t>
      </w:r>
    </w:p>
  </w:footnote>
  <w:footnote w:id="8">
    <w:p w14:paraId="62F968B2"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w:t>
      </w:r>
      <w:r w:rsidRPr="003D3834">
        <w:rPr>
          <w:rFonts w:ascii="Times New Roman" w:hAnsi="Times New Roman" w:cs="Times New Roman"/>
          <w:shd w:val="clear" w:color="auto" w:fill="FFFFFF"/>
        </w:rPr>
        <w:t xml:space="preserve">Estes, </w:t>
      </w:r>
      <w:r w:rsidRPr="003D3834">
        <w:rPr>
          <w:rStyle w:val="Emphasis"/>
          <w:rFonts w:ascii="Times New Roman" w:hAnsi="Times New Roman" w:cs="Times New Roman"/>
          <w:shd w:val="clear" w:color="auto" w:fill="FFFFFF"/>
        </w:rPr>
        <w:t>Handbook on the Wisdom Books and Psalms</w:t>
      </w:r>
      <w:r w:rsidRPr="003D3834">
        <w:rPr>
          <w:rFonts w:ascii="Times New Roman" w:hAnsi="Times New Roman" w:cs="Times New Roman"/>
        </w:rPr>
        <w:t>, 400.</w:t>
      </w:r>
    </w:p>
  </w:footnote>
  <w:footnote w:id="9">
    <w:p w14:paraId="0A88643B"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Duane A. Garrett, </w:t>
      </w:r>
      <w:r w:rsidRPr="003D3834">
        <w:rPr>
          <w:rFonts w:ascii="Times New Roman" w:hAnsi="Times New Roman" w:cs="Times New Roman"/>
          <w:i/>
          <w:iCs/>
        </w:rPr>
        <w:t>Proverbs, Ecclesiastes, Song of Songs</w:t>
      </w:r>
      <w:r w:rsidRPr="003D3834">
        <w:rPr>
          <w:rFonts w:ascii="Times New Roman" w:hAnsi="Times New Roman" w:cs="Times New Roman"/>
        </w:rPr>
        <w:t xml:space="preserve"> (Nashville, Tenn: Broadman Press, 1993), 359.</w:t>
      </w:r>
    </w:p>
  </w:footnote>
  <w:footnote w:id="10">
    <w:p w14:paraId="60C55EF6" w14:textId="77777777" w:rsidR="00951223" w:rsidRPr="003D3834" w:rsidRDefault="00951223" w:rsidP="00951223">
      <w:pPr>
        <w:pStyle w:val="FootnoteText"/>
        <w:spacing w:after="240"/>
        <w:ind w:firstLine="720"/>
        <w:rPr>
          <w:rFonts w:ascii="Times New Roman" w:hAnsi="Times New Roman" w:cs="Times New Roman"/>
        </w:rPr>
      </w:pPr>
      <w:r w:rsidRPr="003D3834">
        <w:rPr>
          <w:rStyle w:val="FootnoteReference"/>
          <w:rFonts w:ascii="Times New Roman" w:hAnsi="Times New Roman" w:cs="Times New Roman"/>
        </w:rPr>
        <w:footnoteRef/>
      </w:r>
      <w:r w:rsidRPr="003D3834">
        <w:rPr>
          <w:rFonts w:ascii="Times New Roman" w:hAnsi="Times New Roman" w:cs="Times New Roman"/>
        </w:rPr>
        <w:t xml:space="preserve"> </w:t>
      </w:r>
      <w:r w:rsidRPr="003D3834">
        <w:rPr>
          <w:rFonts w:ascii="Times New Roman" w:hAnsi="Times New Roman" w:cs="Times New Roman"/>
          <w:shd w:val="clear" w:color="auto" w:fill="FFFFFF"/>
        </w:rPr>
        <w:t xml:space="preserve">Estes, </w:t>
      </w:r>
      <w:r w:rsidRPr="003D3834">
        <w:rPr>
          <w:rStyle w:val="Emphasis"/>
          <w:rFonts w:ascii="Times New Roman" w:hAnsi="Times New Roman" w:cs="Times New Roman"/>
          <w:shd w:val="clear" w:color="auto" w:fill="FFFFFF"/>
        </w:rPr>
        <w:t>Handbook on the Wisdom Books and Psalms</w:t>
      </w:r>
      <w:r w:rsidRPr="003D3834">
        <w:rPr>
          <w:rFonts w:ascii="Times New Roman" w:hAnsi="Times New Roman" w:cs="Times New Roman"/>
        </w:rPr>
        <w:t>, 405.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C3"/>
    <w:rsid w:val="00004BCD"/>
    <w:rsid w:val="0002051D"/>
    <w:rsid w:val="000608BC"/>
    <w:rsid w:val="000F62B6"/>
    <w:rsid w:val="00224CDB"/>
    <w:rsid w:val="00227B7A"/>
    <w:rsid w:val="00283FD1"/>
    <w:rsid w:val="00325657"/>
    <w:rsid w:val="00345DD1"/>
    <w:rsid w:val="003B5B03"/>
    <w:rsid w:val="003B79F9"/>
    <w:rsid w:val="003D3834"/>
    <w:rsid w:val="003E736F"/>
    <w:rsid w:val="004252F1"/>
    <w:rsid w:val="00477FB7"/>
    <w:rsid w:val="00576A5B"/>
    <w:rsid w:val="00594178"/>
    <w:rsid w:val="005B3D8A"/>
    <w:rsid w:val="005C63DB"/>
    <w:rsid w:val="0061167D"/>
    <w:rsid w:val="006B0696"/>
    <w:rsid w:val="006F5BDD"/>
    <w:rsid w:val="00712A8D"/>
    <w:rsid w:val="00721F03"/>
    <w:rsid w:val="00771AC3"/>
    <w:rsid w:val="007E16F6"/>
    <w:rsid w:val="008228E0"/>
    <w:rsid w:val="0082410A"/>
    <w:rsid w:val="008317AE"/>
    <w:rsid w:val="00840CFB"/>
    <w:rsid w:val="0085459F"/>
    <w:rsid w:val="00866C68"/>
    <w:rsid w:val="00871F2A"/>
    <w:rsid w:val="00896C8B"/>
    <w:rsid w:val="0089745A"/>
    <w:rsid w:val="008C56E5"/>
    <w:rsid w:val="00913210"/>
    <w:rsid w:val="00951223"/>
    <w:rsid w:val="00962EA4"/>
    <w:rsid w:val="0096580A"/>
    <w:rsid w:val="009E010D"/>
    <w:rsid w:val="00A23793"/>
    <w:rsid w:val="00A6622D"/>
    <w:rsid w:val="00B25D51"/>
    <w:rsid w:val="00BC32BF"/>
    <w:rsid w:val="00BD674B"/>
    <w:rsid w:val="00C0437D"/>
    <w:rsid w:val="00C50A0A"/>
    <w:rsid w:val="00DB5F42"/>
    <w:rsid w:val="00DF5719"/>
    <w:rsid w:val="00E9523F"/>
    <w:rsid w:val="00EC51B0"/>
    <w:rsid w:val="00F038A6"/>
    <w:rsid w:val="00F92139"/>
    <w:rsid w:val="00FD18BF"/>
    <w:rsid w:val="00FE2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DD82"/>
  <w15:chartTrackingRefBased/>
  <w15:docId w15:val="{C1533DC8-F7DD-43A1-9661-8365DB7C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4BCD"/>
    <w:rPr>
      <w:color w:val="0000FF"/>
      <w:u w:val="single"/>
    </w:rPr>
  </w:style>
  <w:style w:type="paragraph" w:styleId="FootnoteText">
    <w:name w:val="footnote text"/>
    <w:basedOn w:val="Normal"/>
    <w:link w:val="FootnoteTextChar"/>
    <w:uiPriority w:val="99"/>
    <w:semiHidden/>
    <w:unhideWhenUsed/>
    <w:rsid w:val="000F62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62B6"/>
    <w:rPr>
      <w:sz w:val="20"/>
      <w:szCs w:val="20"/>
    </w:rPr>
  </w:style>
  <w:style w:type="character" w:styleId="FootnoteReference">
    <w:name w:val="footnote reference"/>
    <w:basedOn w:val="DefaultParagraphFont"/>
    <w:uiPriority w:val="99"/>
    <w:semiHidden/>
    <w:unhideWhenUsed/>
    <w:rsid w:val="000F62B6"/>
    <w:rPr>
      <w:vertAlign w:val="superscript"/>
    </w:rPr>
  </w:style>
  <w:style w:type="character" w:styleId="Emphasis">
    <w:name w:val="Emphasis"/>
    <w:basedOn w:val="DefaultParagraphFont"/>
    <w:uiPriority w:val="20"/>
    <w:qFormat/>
    <w:rsid w:val="000F62B6"/>
    <w:rPr>
      <w:i/>
      <w:iCs/>
    </w:rPr>
  </w:style>
  <w:style w:type="paragraph" w:styleId="NormalWeb">
    <w:name w:val="Normal (Web)"/>
    <w:basedOn w:val="Normal"/>
    <w:uiPriority w:val="99"/>
    <w:unhideWhenUsed/>
    <w:rsid w:val="009512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551529">
      <w:bodyDiv w:val="1"/>
      <w:marLeft w:val="0"/>
      <w:marRight w:val="0"/>
      <w:marTop w:val="0"/>
      <w:marBottom w:val="0"/>
      <w:divBdr>
        <w:top w:val="none" w:sz="0" w:space="0" w:color="auto"/>
        <w:left w:val="none" w:sz="0" w:space="0" w:color="auto"/>
        <w:bottom w:val="none" w:sz="0" w:space="0" w:color="auto"/>
        <w:right w:val="none" w:sz="0" w:space="0" w:color="auto"/>
      </w:divBdr>
      <w:divsChild>
        <w:div w:id="1080951099">
          <w:marLeft w:val="0"/>
          <w:marRight w:val="0"/>
          <w:marTop w:val="0"/>
          <w:marBottom w:val="0"/>
          <w:divBdr>
            <w:top w:val="none" w:sz="0" w:space="0" w:color="auto"/>
            <w:left w:val="none" w:sz="0" w:space="0" w:color="auto"/>
            <w:bottom w:val="none" w:sz="0" w:space="0" w:color="auto"/>
            <w:right w:val="none" w:sz="0" w:space="0" w:color="auto"/>
          </w:divBdr>
        </w:div>
        <w:div w:id="1226331215">
          <w:marLeft w:val="0"/>
          <w:marRight w:val="0"/>
          <w:marTop w:val="0"/>
          <w:marBottom w:val="0"/>
          <w:divBdr>
            <w:top w:val="none" w:sz="0" w:space="0" w:color="auto"/>
            <w:left w:val="none" w:sz="0" w:space="0" w:color="auto"/>
            <w:bottom w:val="none" w:sz="0" w:space="0" w:color="auto"/>
            <w:right w:val="none" w:sz="0" w:space="0" w:color="auto"/>
          </w:divBdr>
        </w:div>
      </w:divsChild>
    </w:div>
    <w:div w:id="334723755">
      <w:bodyDiv w:val="1"/>
      <w:marLeft w:val="0"/>
      <w:marRight w:val="0"/>
      <w:marTop w:val="0"/>
      <w:marBottom w:val="0"/>
      <w:divBdr>
        <w:top w:val="none" w:sz="0" w:space="0" w:color="auto"/>
        <w:left w:val="none" w:sz="0" w:space="0" w:color="auto"/>
        <w:bottom w:val="none" w:sz="0" w:space="0" w:color="auto"/>
        <w:right w:val="none" w:sz="0" w:space="0" w:color="auto"/>
      </w:divBdr>
      <w:divsChild>
        <w:div w:id="261454659">
          <w:marLeft w:val="0"/>
          <w:marRight w:val="0"/>
          <w:marTop w:val="0"/>
          <w:marBottom w:val="0"/>
          <w:divBdr>
            <w:top w:val="none" w:sz="0" w:space="0" w:color="auto"/>
            <w:left w:val="none" w:sz="0" w:space="0" w:color="auto"/>
            <w:bottom w:val="none" w:sz="0" w:space="0" w:color="auto"/>
            <w:right w:val="none" w:sz="0" w:space="0" w:color="auto"/>
          </w:divBdr>
        </w:div>
        <w:div w:id="1939634945">
          <w:marLeft w:val="0"/>
          <w:marRight w:val="0"/>
          <w:marTop w:val="0"/>
          <w:marBottom w:val="0"/>
          <w:divBdr>
            <w:top w:val="none" w:sz="0" w:space="0" w:color="auto"/>
            <w:left w:val="none" w:sz="0" w:space="0" w:color="auto"/>
            <w:bottom w:val="none" w:sz="0" w:space="0" w:color="auto"/>
            <w:right w:val="none" w:sz="0" w:space="0" w:color="auto"/>
          </w:divBdr>
        </w:div>
      </w:divsChild>
    </w:div>
    <w:div w:id="517357886">
      <w:bodyDiv w:val="1"/>
      <w:marLeft w:val="0"/>
      <w:marRight w:val="0"/>
      <w:marTop w:val="0"/>
      <w:marBottom w:val="0"/>
      <w:divBdr>
        <w:top w:val="none" w:sz="0" w:space="0" w:color="auto"/>
        <w:left w:val="none" w:sz="0" w:space="0" w:color="auto"/>
        <w:bottom w:val="none" w:sz="0" w:space="0" w:color="auto"/>
        <w:right w:val="none" w:sz="0" w:space="0" w:color="auto"/>
      </w:divBdr>
      <w:divsChild>
        <w:div w:id="1315795573">
          <w:marLeft w:val="0"/>
          <w:marRight w:val="0"/>
          <w:marTop w:val="0"/>
          <w:marBottom w:val="0"/>
          <w:divBdr>
            <w:top w:val="none" w:sz="0" w:space="0" w:color="auto"/>
            <w:left w:val="none" w:sz="0" w:space="0" w:color="auto"/>
            <w:bottom w:val="none" w:sz="0" w:space="0" w:color="auto"/>
            <w:right w:val="none" w:sz="0" w:space="0" w:color="auto"/>
          </w:divBdr>
        </w:div>
        <w:div w:id="255214200">
          <w:marLeft w:val="0"/>
          <w:marRight w:val="0"/>
          <w:marTop w:val="0"/>
          <w:marBottom w:val="0"/>
          <w:divBdr>
            <w:top w:val="none" w:sz="0" w:space="0" w:color="auto"/>
            <w:left w:val="none" w:sz="0" w:space="0" w:color="auto"/>
            <w:bottom w:val="none" w:sz="0" w:space="0" w:color="auto"/>
            <w:right w:val="none" w:sz="0" w:space="0" w:color="auto"/>
          </w:divBdr>
        </w:div>
      </w:divsChild>
    </w:div>
    <w:div w:id="529686991">
      <w:bodyDiv w:val="1"/>
      <w:marLeft w:val="0"/>
      <w:marRight w:val="0"/>
      <w:marTop w:val="0"/>
      <w:marBottom w:val="0"/>
      <w:divBdr>
        <w:top w:val="none" w:sz="0" w:space="0" w:color="auto"/>
        <w:left w:val="none" w:sz="0" w:space="0" w:color="auto"/>
        <w:bottom w:val="none" w:sz="0" w:space="0" w:color="auto"/>
        <w:right w:val="none" w:sz="0" w:space="0" w:color="auto"/>
      </w:divBdr>
      <w:divsChild>
        <w:div w:id="1388265971">
          <w:marLeft w:val="0"/>
          <w:marRight w:val="0"/>
          <w:marTop w:val="0"/>
          <w:marBottom w:val="0"/>
          <w:divBdr>
            <w:top w:val="none" w:sz="0" w:space="0" w:color="auto"/>
            <w:left w:val="none" w:sz="0" w:space="0" w:color="auto"/>
            <w:bottom w:val="none" w:sz="0" w:space="0" w:color="auto"/>
            <w:right w:val="none" w:sz="0" w:space="0" w:color="auto"/>
          </w:divBdr>
        </w:div>
        <w:div w:id="715087983">
          <w:marLeft w:val="0"/>
          <w:marRight w:val="0"/>
          <w:marTop w:val="0"/>
          <w:marBottom w:val="0"/>
          <w:divBdr>
            <w:top w:val="none" w:sz="0" w:space="0" w:color="auto"/>
            <w:left w:val="none" w:sz="0" w:space="0" w:color="auto"/>
            <w:bottom w:val="none" w:sz="0" w:space="0" w:color="auto"/>
            <w:right w:val="none" w:sz="0" w:space="0" w:color="auto"/>
          </w:divBdr>
        </w:div>
      </w:divsChild>
    </w:div>
    <w:div w:id="560143255">
      <w:bodyDiv w:val="1"/>
      <w:marLeft w:val="0"/>
      <w:marRight w:val="0"/>
      <w:marTop w:val="0"/>
      <w:marBottom w:val="0"/>
      <w:divBdr>
        <w:top w:val="none" w:sz="0" w:space="0" w:color="auto"/>
        <w:left w:val="none" w:sz="0" w:space="0" w:color="auto"/>
        <w:bottom w:val="none" w:sz="0" w:space="0" w:color="auto"/>
        <w:right w:val="none" w:sz="0" w:space="0" w:color="auto"/>
      </w:divBdr>
      <w:divsChild>
        <w:div w:id="760416096">
          <w:marLeft w:val="0"/>
          <w:marRight w:val="0"/>
          <w:marTop w:val="0"/>
          <w:marBottom w:val="0"/>
          <w:divBdr>
            <w:top w:val="none" w:sz="0" w:space="0" w:color="auto"/>
            <w:left w:val="none" w:sz="0" w:space="0" w:color="auto"/>
            <w:bottom w:val="none" w:sz="0" w:space="0" w:color="auto"/>
            <w:right w:val="none" w:sz="0" w:space="0" w:color="auto"/>
          </w:divBdr>
        </w:div>
        <w:div w:id="148443558">
          <w:marLeft w:val="0"/>
          <w:marRight w:val="0"/>
          <w:marTop w:val="0"/>
          <w:marBottom w:val="0"/>
          <w:divBdr>
            <w:top w:val="none" w:sz="0" w:space="0" w:color="auto"/>
            <w:left w:val="none" w:sz="0" w:space="0" w:color="auto"/>
            <w:bottom w:val="none" w:sz="0" w:space="0" w:color="auto"/>
            <w:right w:val="none" w:sz="0" w:space="0" w:color="auto"/>
          </w:divBdr>
        </w:div>
      </w:divsChild>
    </w:div>
    <w:div w:id="987704242">
      <w:bodyDiv w:val="1"/>
      <w:marLeft w:val="0"/>
      <w:marRight w:val="0"/>
      <w:marTop w:val="0"/>
      <w:marBottom w:val="0"/>
      <w:divBdr>
        <w:top w:val="none" w:sz="0" w:space="0" w:color="auto"/>
        <w:left w:val="none" w:sz="0" w:space="0" w:color="auto"/>
        <w:bottom w:val="none" w:sz="0" w:space="0" w:color="auto"/>
        <w:right w:val="none" w:sz="0" w:space="0" w:color="auto"/>
      </w:divBdr>
      <w:divsChild>
        <w:div w:id="834733473">
          <w:marLeft w:val="0"/>
          <w:marRight w:val="0"/>
          <w:marTop w:val="0"/>
          <w:marBottom w:val="0"/>
          <w:divBdr>
            <w:top w:val="none" w:sz="0" w:space="0" w:color="auto"/>
            <w:left w:val="none" w:sz="0" w:space="0" w:color="auto"/>
            <w:bottom w:val="none" w:sz="0" w:space="0" w:color="auto"/>
            <w:right w:val="none" w:sz="0" w:space="0" w:color="auto"/>
          </w:divBdr>
        </w:div>
        <w:div w:id="1953974949">
          <w:marLeft w:val="0"/>
          <w:marRight w:val="0"/>
          <w:marTop w:val="0"/>
          <w:marBottom w:val="0"/>
          <w:divBdr>
            <w:top w:val="none" w:sz="0" w:space="0" w:color="auto"/>
            <w:left w:val="none" w:sz="0" w:space="0" w:color="auto"/>
            <w:bottom w:val="none" w:sz="0" w:space="0" w:color="auto"/>
            <w:right w:val="none" w:sz="0" w:space="0" w:color="auto"/>
          </w:divBdr>
        </w:div>
      </w:divsChild>
    </w:div>
    <w:div w:id="988746375">
      <w:bodyDiv w:val="1"/>
      <w:marLeft w:val="0"/>
      <w:marRight w:val="0"/>
      <w:marTop w:val="0"/>
      <w:marBottom w:val="0"/>
      <w:divBdr>
        <w:top w:val="none" w:sz="0" w:space="0" w:color="auto"/>
        <w:left w:val="none" w:sz="0" w:space="0" w:color="auto"/>
        <w:bottom w:val="none" w:sz="0" w:space="0" w:color="auto"/>
        <w:right w:val="none" w:sz="0" w:space="0" w:color="auto"/>
      </w:divBdr>
      <w:divsChild>
        <w:div w:id="1830515258">
          <w:marLeft w:val="0"/>
          <w:marRight w:val="0"/>
          <w:marTop w:val="0"/>
          <w:marBottom w:val="0"/>
          <w:divBdr>
            <w:top w:val="none" w:sz="0" w:space="0" w:color="auto"/>
            <w:left w:val="none" w:sz="0" w:space="0" w:color="auto"/>
            <w:bottom w:val="none" w:sz="0" w:space="0" w:color="auto"/>
            <w:right w:val="none" w:sz="0" w:space="0" w:color="auto"/>
          </w:divBdr>
        </w:div>
      </w:divsChild>
    </w:div>
    <w:div w:id="1792089930">
      <w:bodyDiv w:val="1"/>
      <w:marLeft w:val="0"/>
      <w:marRight w:val="0"/>
      <w:marTop w:val="0"/>
      <w:marBottom w:val="0"/>
      <w:divBdr>
        <w:top w:val="none" w:sz="0" w:space="0" w:color="auto"/>
        <w:left w:val="none" w:sz="0" w:space="0" w:color="auto"/>
        <w:bottom w:val="none" w:sz="0" w:space="0" w:color="auto"/>
        <w:right w:val="none" w:sz="0" w:space="0" w:color="auto"/>
      </w:divBdr>
      <w:divsChild>
        <w:div w:id="1809590579">
          <w:marLeft w:val="0"/>
          <w:marRight w:val="0"/>
          <w:marTop w:val="0"/>
          <w:marBottom w:val="0"/>
          <w:divBdr>
            <w:top w:val="none" w:sz="0" w:space="0" w:color="auto"/>
            <w:left w:val="none" w:sz="0" w:space="0" w:color="auto"/>
            <w:bottom w:val="none" w:sz="0" w:space="0" w:color="auto"/>
            <w:right w:val="none" w:sz="0" w:space="0" w:color="auto"/>
          </w:divBdr>
        </w:div>
        <w:div w:id="775638074">
          <w:marLeft w:val="0"/>
          <w:marRight w:val="0"/>
          <w:marTop w:val="0"/>
          <w:marBottom w:val="0"/>
          <w:divBdr>
            <w:top w:val="none" w:sz="0" w:space="0" w:color="auto"/>
            <w:left w:val="none" w:sz="0" w:space="0" w:color="auto"/>
            <w:bottom w:val="none" w:sz="0" w:space="0" w:color="auto"/>
            <w:right w:val="none" w:sz="0" w:space="0" w:color="auto"/>
          </w:divBdr>
        </w:div>
      </w:divsChild>
    </w:div>
    <w:div w:id="1891725974">
      <w:bodyDiv w:val="1"/>
      <w:marLeft w:val="0"/>
      <w:marRight w:val="0"/>
      <w:marTop w:val="0"/>
      <w:marBottom w:val="0"/>
      <w:divBdr>
        <w:top w:val="none" w:sz="0" w:space="0" w:color="auto"/>
        <w:left w:val="none" w:sz="0" w:space="0" w:color="auto"/>
        <w:bottom w:val="none" w:sz="0" w:space="0" w:color="auto"/>
        <w:right w:val="none" w:sz="0" w:space="0" w:color="auto"/>
      </w:divBdr>
      <w:divsChild>
        <w:div w:id="1166172203">
          <w:marLeft w:val="0"/>
          <w:marRight w:val="0"/>
          <w:marTop w:val="0"/>
          <w:marBottom w:val="0"/>
          <w:divBdr>
            <w:top w:val="none" w:sz="0" w:space="0" w:color="auto"/>
            <w:left w:val="none" w:sz="0" w:space="0" w:color="auto"/>
            <w:bottom w:val="none" w:sz="0" w:space="0" w:color="auto"/>
            <w:right w:val="none" w:sz="0" w:space="0" w:color="auto"/>
          </w:divBdr>
        </w:div>
        <w:div w:id="1830294195">
          <w:marLeft w:val="0"/>
          <w:marRight w:val="0"/>
          <w:marTop w:val="0"/>
          <w:marBottom w:val="0"/>
          <w:divBdr>
            <w:top w:val="none" w:sz="0" w:space="0" w:color="auto"/>
            <w:left w:val="none" w:sz="0" w:space="0" w:color="auto"/>
            <w:bottom w:val="none" w:sz="0" w:space="0" w:color="auto"/>
            <w:right w:val="none" w:sz="0" w:space="0" w:color="auto"/>
          </w:divBdr>
        </w:div>
      </w:divsChild>
    </w:div>
    <w:div w:id="210294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948950B-49B8-4AC7-84C9-E8D2F639D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3</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2021-11-10T20:15:00Z</dcterms:created>
  <dcterms:modified xsi:type="dcterms:W3CDTF">2021-11-11T22:02:00Z</dcterms:modified>
</cp:coreProperties>
</file>