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E6DC5" w14:textId="356D4640" w:rsidR="001529BB" w:rsidRDefault="001529BB" w:rsidP="003E2D5C">
      <w:pPr>
        <w:pStyle w:val="NormalWeb"/>
        <w:spacing w:before="240" w:beforeAutospacing="0" w:after="0" w:afterAutospacing="0"/>
        <w:rPr>
          <w:color w:val="0E101A"/>
        </w:rPr>
      </w:pPr>
      <w:r>
        <w:rPr>
          <w:color w:val="0E101A"/>
        </w:rPr>
        <w:t xml:space="preserve">Whereas the popularity of marriage continues to fall due to alternative lifestyles such as cohabitation, </w:t>
      </w:r>
      <w:r w:rsidR="003E2D5C">
        <w:rPr>
          <w:color w:val="0E101A"/>
        </w:rPr>
        <w:t>marriage</w:t>
      </w:r>
      <w:r>
        <w:rPr>
          <w:color w:val="0E101A"/>
        </w:rPr>
        <w:t xml:space="preserve"> continues to persist to the present. According to Francesco C. Billari and Aart C. Liefbroer, “the vast majority of people still marry</w:t>
      </w:r>
      <w:r w:rsidR="00AA1B9F">
        <w:rPr>
          <w:color w:val="0E101A"/>
        </w:rPr>
        <w:t>.”</w:t>
      </w:r>
      <w:r w:rsidR="00AA1B9F" w:rsidRPr="00791607">
        <w:rPr>
          <w:rStyle w:val="FootnoteReference"/>
        </w:rPr>
        <w:footnoteReference w:id="1"/>
      </w:r>
      <w:r w:rsidR="00AA1B9F">
        <w:rPr>
          <w:color w:val="0E101A"/>
        </w:rPr>
        <w:t xml:space="preserve"> </w:t>
      </w:r>
      <w:r>
        <w:rPr>
          <w:color w:val="0E101A"/>
        </w:rPr>
        <w:t>John Eekelaar’s research indicates, “People who are married and remain married, can be shown, statistically, to enjoy better emotional and physical health, and to engage in less antisocial and criminal behavior, than nonmarried people.”</w:t>
      </w:r>
      <w:r w:rsidR="00DD1C49" w:rsidRPr="00791607">
        <w:rPr>
          <w:rStyle w:val="FootnoteReference"/>
        </w:rPr>
        <w:footnoteReference w:id="2"/>
      </w:r>
      <w:r>
        <w:rPr>
          <w:color w:val="0E101A"/>
        </w:rPr>
        <w:t> In other words, marriage brings stability to an individual. In his book </w:t>
      </w:r>
      <w:r>
        <w:rPr>
          <w:rStyle w:val="Emphasis"/>
          <w:color w:val="0E101A"/>
        </w:rPr>
        <w:t>The Sacred Search: What if it's Not about Who You Marry, but Why? </w:t>
      </w:r>
      <w:r>
        <w:rPr>
          <w:color w:val="0E101A"/>
        </w:rPr>
        <w:t>Gary Thomas</w:t>
      </w:r>
      <w:r>
        <w:rPr>
          <w:rStyle w:val="Emphasis"/>
          <w:color w:val="0E101A"/>
        </w:rPr>
        <w:t> </w:t>
      </w:r>
      <w:r>
        <w:rPr>
          <w:color w:val="0E101A"/>
        </w:rPr>
        <w:t>offers different reasons as to why people should marry. The first reason he points out to be sexual desires</w:t>
      </w:r>
      <w:r w:rsidR="00DD1C49">
        <w:rPr>
          <w:color w:val="0E101A"/>
        </w:rPr>
        <w:t>.</w:t>
      </w:r>
      <w:r w:rsidR="00DD1C49" w:rsidRPr="00791607">
        <w:rPr>
          <w:rStyle w:val="FootnoteReference"/>
        </w:rPr>
        <w:footnoteReference w:id="3"/>
      </w:r>
      <w:r>
        <w:rPr>
          <w:color w:val="0E101A"/>
        </w:rPr>
        <w:t> Borrowing from 1 Corinthians 7:2, he argues that God designed humans as sexual beings and as such, marriage is the only place they can enjoy sex without dishonoring God.</w:t>
      </w:r>
      <w:hyperlink w:anchor="_ftn4" w:tgtFrame="_blank" w:history="1">
        <w:r w:rsidR="00DD1C49" w:rsidRPr="00791607">
          <w:rPr>
            <w:rStyle w:val="FootnoteReference"/>
          </w:rPr>
          <w:footnoteReference w:id="4"/>
        </w:r>
        <w:r w:rsidR="00DD1C49">
          <w:rPr>
            <w:rStyle w:val="Hyperlink"/>
            <w:color w:val="4A6EE0"/>
          </w:rPr>
          <w:t xml:space="preserve"> </w:t>
        </w:r>
      </w:hyperlink>
      <w:r w:rsidR="00DD1C49">
        <w:rPr>
          <w:color w:val="0E101A"/>
        </w:rPr>
        <w:t xml:space="preserve"> </w:t>
      </w:r>
      <w:r>
        <w:rPr>
          <w:color w:val="0E101A"/>
        </w:rPr>
        <w:t>Also, Gary Thomas says that cultural conditioning is a reason for marrying. In his argument, he dismisses the idea of marrying for love. Instead, he advocates for people having an objective and practical look at how two people can form a family.</w:t>
      </w:r>
      <w:hyperlink w:anchor="_ftn5" w:tgtFrame="_blank" w:history="1">
        <w:r w:rsidR="00DD1C49" w:rsidRPr="00791607">
          <w:rPr>
            <w:rStyle w:val="FootnoteReference"/>
          </w:rPr>
          <w:footnoteReference w:id="5"/>
        </w:r>
        <w:r w:rsidR="00DD1C49" w:rsidRPr="00791607">
          <w:t xml:space="preserve"> </w:t>
        </w:r>
      </w:hyperlink>
      <w:r>
        <w:rPr>
          <w:color w:val="0E101A"/>
        </w:rPr>
        <w:t>The distinguished scholar Alison Hatch also tries to answer the question of why people marry. Offering reasons why people do not marry, he renders reasons of financial security and religion. In his article, he categorizes reasons why people do not marry into two. The first is concerns about the meanings of marriage, and the second, concerns about the effects marriage may have on the relationship.</w:t>
      </w:r>
      <w:hyperlink w:anchor="_ftn6" w:tgtFrame="_blank" w:history="1">
        <w:r w:rsidR="00DD1C49" w:rsidRPr="00791607">
          <w:rPr>
            <w:rStyle w:val="FootnoteReference"/>
          </w:rPr>
          <w:footnoteReference w:id="6"/>
        </w:r>
        <w:r w:rsidR="00DD1C49">
          <w:rPr>
            <w:rStyle w:val="Hyperlink"/>
            <w:color w:val="4A6EE0"/>
          </w:rPr>
          <w:t xml:space="preserve"> </w:t>
        </w:r>
      </w:hyperlink>
      <w:r>
        <w:rPr>
          <w:color w:val="0E101A"/>
        </w:rPr>
        <w:t> Concerning the meanings of marriage, Hatch notes that many people do not want to get married because they feel that marriage is associated with Christianity or the government. On concerns about the effects marriage has on the relationship, he cites that some people fear divorce or economic practicalities.</w:t>
      </w:r>
      <w:r w:rsidR="003E2D5C" w:rsidRPr="00791607">
        <w:rPr>
          <w:rStyle w:val="FootnoteReference"/>
        </w:rPr>
        <w:footnoteReference w:id="7"/>
      </w:r>
    </w:p>
    <w:p w14:paraId="7985F7BA" w14:textId="2277F0A9" w:rsidR="001529BB" w:rsidRDefault="001529BB" w:rsidP="003E2D5C">
      <w:pPr>
        <w:pStyle w:val="NormalWeb"/>
        <w:spacing w:before="240" w:beforeAutospacing="0" w:after="0" w:afterAutospacing="0"/>
        <w:rPr>
          <w:color w:val="0E101A"/>
        </w:rPr>
      </w:pPr>
      <w:r>
        <w:rPr>
          <w:color w:val="0E101A"/>
        </w:rPr>
        <w:t xml:space="preserve">In my view, I think people should marry not necessarily for love but rather for God’s glory. Unarguably, God’s glory should be the reason why people marry. When God began the institution of marriage, he provided a clear vision. In design, marriage was to carry out his glory and purposes. He was not shy from telling Adam and Eve what their union was about (Gen 1:28). I would be stretching my imaginations to say that the primary reason God married them was financial freedom. However, it is plausible to posit that they were definitely in sync with God’s idea and purpose. God wanted them to fill the earth and tend to his creation (Gen 1:26-28, </w:t>
      </w:r>
      <w:r>
        <w:rPr>
          <w:color w:val="0E101A"/>
        </w:rPr>
        <w:lastRenderedPageBreak/>
        <w:t>NIV).</w:t>
      </w:r>
      <w:r w:rsidR="003E2D5C" w:rsidRPr="00791607">
        <w:rPr>
          <w:rStyle w:val="FootnoteReference"/>
        </w:rPr>
        <w:footnoteReference w:id="8"/>
      </w:r>
      <w:r>
        <w:rPr>
          <w:color w:val="0E101A"/>
        </w:rPr>
        <w:t xml:space="preserve"> Therefore, when thinking about marriage, people should ask themselves if they marry, would it bring God glory? For some, marrying will not bring God glory hence the need for them to stay celibate. The Apostle Paul avers, “An unmarried man is concerned about the Lord’s affairs—how he can please the Lord.” (1 Cor 7:32). For those who have married and divorced, this also is a good question to ask. Would marrying a second wife or husband bring God glory? For many others, marrying will bring God glory. And this is </w:t>
      </w:r>
      <w:r w:rsidR="008D1B1A">
        <w:rPr>
          <w:color w:val="0E101A"/>
        </w:rPr>
        <w:t>not only that</w:t>
      </w:r>
      <w:r>
        <w:rPr>
          <w:color w:val="0E101A"/>
        </w:rPr>
        <w:t xml:space="preserve"> they will not dishonor him with sexual sins (including homosexuality)</w:t>
      </w:r>
      <w:r w:rsidR="008D1B1A">
        <w:rPr>
          <w:color w:val="0E101A"/>
        </w:rPr>
        <w:t xml:space="preserve"> but also that they will be able to work together as a team to advance his Kingdom</w:t>
      </w:r>
      <w:r>
        <w:rPr>
          <w:color w:val="0E101A"/>
        </w:rPr>
        <w:t>. If they seek God’s glory even in their marriage, their marriage will reflect Christ and his bride, the church (Eph 5:25-29).</w:t>
      </w:r>
      <w:r w:rsidR="008D1B1A">
        <w:rPr>
          <w:color w:val="0E101A"/>
        </w:rPr>
        <w:t xml:space="preserve"> </w:t>
      </w:r>
      <w:r>
        <w:rPr>
          <w:color w:val="0E101A"/>
        </w:rPr>
        <w:t>God’s glory, not our happiness, is why we should marry.</w:t>
      </w:r>
    </w:p>
    <w:p w14:paraId="5094B974" w14:textId="77777777" w:rsidR="001529BB" w:rsidRDefault="001529BB" w:rsidP="003E2D5C">
      <w:pPr>
        <w:spacing w:before="240"/>
        <w:rPr>
          <w:rFonts w:ascii="Times New Roman" w:hAnsi="Times New Roman" w:cs="Times New Roman"/>
          <w:sz w:val="24"/>
          <w:szCs w:val="24"/>
        </w:rPr>
      </w:pPr>
    </w:p>
    <w:p w14:paraId="0A304006" w14:textId="77777777" w:rsidR="001529BB" w:rsidRDefault="001529BB" w:rsidP="00046C72">
      <w:pPr>
        <w:rPr>
          <w:rFonts w:ascii="Times New Roman" w:hAnsi="Times New Roman" w:cs="Times New Roman"/>
          <w:sz w:val="24"/>
          <w:szCs w:val="24"/>
        </w:rPr>
      </w:pPr>
    </w:p>
    <w:p w14:paraId="786011AA" w14:textId="74707160" w:rsidR="00E31E4F" w:rsidRPr="003C5518" w:rsidRDefault="00297ABD">
      <w:pPr>
        <w:rPr>
          <w:rFonts w:ascii="Times New Roman" w:hAnsi="Times New Roman" w:cs="Times New Roman"/>
          <w:b/>
          <w:bCs/>
          <w:sz w:val="24"/>
          <w:szCs w:val="24"/>
        </w:rPr>
      </w:pPr>
      <w:r w:rsidRPr="003C5518">
        <w:rPr>
          <w:rFonts w:ascii="Times New Roman" w:hAnsi="Times New Roman" w:cs="Times New Roman"/>
          <w:b/>
          <w:bCs/>
          <w:sz w:val="24"/>
          <w:szCs w:val="24"/>
        </w:rPr>
        <w:t>Bibliography</w:t>
      </w:r>
    </w:p>
    <w:p w14:paraId="03070AFC" w14:textId="5F78EC8E" w:rsidR="00791607" w:rsidRPr="00791607" w:rsidRDefault="00791607" w:rsidP="00791607">
      <w:pPr>
        <w:ind w:left="720" w:hanging="720"/>
        <w:rPr>
          <w:rFonts w:ascii="Times New Roman" w:hAnsi="Times New Roman" w:cs="Times New Roman"/>
          <w:sz w:val="24"/>
          <w:szCs w:val="24"/>
        </w:rPr>
      </w:pPr>
      <w:r w:rsidRPr="00791607">
        <w:rPr>
          <w:rFonts w:ascii="Times New Roman" w:hAnsi="Times New Roman" w:cs="Times New Roman"/>
          <w:sz w:val="24"/>
          <w:szCs w:val="24"/>
        </w:rPr>
        <w:t xml:space="preserve">Billari, Francesco C., and Aart C. Liefbroer. “Why Still Marry? The Role of Feelings in the Persistence of Marriage as an Institution1.” </w:t>
      </w:r>
      <w:r w:rsidRPr="00791607">
        <w:rPr>
          <w:rFonts w:ascii="Times New Roman" w:hAnsi="Times New Roman" w:cs="Times New Roman"/>
          <w:i/>
          <w:iCs/>
          <w:sz w:val="24"/>
          <w:szCs w:val="24"/>
        </w:rPr>
        <w:t>British Journal of Sociology</w:t>
      </w:r>
      <w:r w:rsidRPr="00791607">
        <w:rPr>
          <w:rFonts w:ascii="Times New Roman" w:hAnsi="Times New Roman" w:cs="Times New Roman"/>
          <w:sz w:val="24"/>
          <w:szCs w:val="24"/>
        </w:rPr>
        <w:t xml:space="preserve"> 67, no. 3 (September 2016): 516–40. doi:10.1111/1468-4446.12202.</w:t>
      </w:r>
    </w:p>
    <w:p w14:paraId="403D217D" w14:textId="77777777" w:rsidR="00791607" w:rsidRPr="00791607" w:rsidRDefault="00791607" w:rsidP="00791607">
      <w:pPr>
        <w:ind w:left="720" w:hanging="720"/>
        <w:rPr>
          <w:rFonts w:ascii="Times New Roman" w:hAnsi="Times New Roman" w:cs="Times New Roman"/>
          <w:sz w:val="24"/>
          <w:szCs w:val="24"/>
        </w:rPr>
      </w:pPr>
      <w:r w:rsidRPr="00791607">
        <w:rPr>
          <w:rFonts w:ascii="Times New Roman" w:hAnsi="Times New Roman" w:cs="Times New Roman"/>
          <w:sz w:val="24"/>
          <w:szCs w:val="24"/>
          <w:shd w:val="clear" w:color="auto" w:fill="FFFFFF"/>
        </w:rPr>
        <w:t>Eekelaar, John. "Why People Marry: The Many Faces of an Institution." </w:t>
      </w:r>
      <w:r w:rsidRPr="00791607">
        <w:rPr>
          <w:rFonts w:ascii="Times New Roman" w:hAnsi="Times New Roman" w:cs="Times New Roman"/>
          <w:i/>
          <w:iCs/>
          <w:sz w:val="24"/>
          <w:szCs w:val="24"/>
          <w:shd w:val="clear" w:color="auto" w:fill="FFFFFF"/>
        </w:rPr>
        <w:t>Family Law Quarterly</w:t>
      </w:r>
      <w:r w:rsidRPr="00791607">
        <w:rPr>
          <w:rFonts w:ascii="Times New Roman" w:hAnsi="Times New Roman" w:cs="Times New Roman"/>
          <w:sz w:val="24"/>
          <w:szCs w:val="24"/>
          <w:shd w:val="clear" w:color="auto" w:fill="FFFFFF"/>
        </w:rPr>
        <w:t> 41, no. 3 (Fall, 2007): 413-31, http://ezproxy.liberty.edu/login?qurl=https%3A%2F%2Fwww.proquest.com%2Fscholarly-journals%2Fwhy-people-marry-many-faces-institution%2Fdocview%2F222881397%2Fse-2%3Faccountid%3D12085.</w:t>
      </w:r>
    </w:p>
    <w:p w14:paraId="043A9E3E" w14:textId="77777777" w:rsidR="00791607" w:rsidRPr="00791607" w:rsidRDefault="00791607" w:rsidP="00791607">
      <w:pPr>
        <w:ind w:left="720" w:hanging="720"/>
        <w:rPr>
          <w:rFonts w:ascii="Times New Roman" w:hAnsi="Times New Roman" w:cs="Times New Roman"/>
          <w:sz w:val="24"/>
          <w:szCs w:val="24"/>
        </w:rPr>
      </w:pPr>
      <w:r w:rsidRPr="00791607">
        <w:rPr>
          <w:rFonts w:ascii="Times New Roman" w:hAnsi="Times New Roman" w:cs="Times New Roman"/>
          <w:sz w:val="24"/>
          <w:szCs w:val="24"/>
        </w:rPr>
        <w:t xml:space="preserve">  Hatch, Alison. “Saying ‘I Don’t’ to Matrimony: An Investigation of Why Long-Term Heterosexual Cohabitors Choose Not to Marry.” </w:t>
      </w:r>
      <w:r w:rsidRPr="00791607">
        <w:rPr>
          <w:rFonts w:ascii="Times New Roman" w:hAnsi="Times New Roman" w:cs="Times New Roman"/>
          <w:i/>
          <w:iCs/>
          <w:sz w:val="24"/>
          <w:szCs w:val="24"/>
        </w:rPr>
        <w:t>Journal of Family Issues</w:t>
      </w:r>
      <w:r w:rsidRPr="00791607">
        <w:rPr>
          <w:rFonts w:ascii="Times New Roman" w:hAnsi="Times New Roman" w:cs="Times New Roman"/>
          <w:sz w:val="24"/>
          <w:szCs w:val="24"/>
        </w:rPr>
        <w:t xml:space="preserve"> 38, no. 12 (August 2017): 1651–74. </w:t>
      </w:r>
      <w:hyperlink r:id="rId7" w:history="1">
        <w:r w:rsidRPr="00791607">
          <w:rPr>
            <w:rStyle w:val="Hyperlink"/>
            <w:rFonts w:ascii="Times New Roman" w:hAnsi="Times New Roman" w:cs="Times New Roman"/>
            <w:color w:val="auto"/>
            <w:sz w:val="24"/>
            <w:szCs w:val="24"/>
            <w:u w:val="none"/>
          </w:rPr>
          <w:t>https://doi.org/10.1177/0192513X15576200</w:t>
        </w:r>
      </w:hyperlink>
      <w:r w:rsidRPr="00791607">
        <w:rPr>
          <w:rFonts w:ascii="Times New Roman" w:hAnsi="Times New Roman" w:cs="Times New Roman"/>
          <w:sz w:val="24"/>
          <w:szCs w:val="24"/>
        </w:rPr>
        <w:t>.</w:t>
      </w:r>
    </w:p>
    <w:p w14:paraId="57D5753B" w14:textId="77777777" w:rsidR="00791607" w:rsidRPr="00791607" w:rsidRDefault="00791607" w:rsidP="00791607">
      <w:pPr>
        <w:ind w:left="720" w:hanging="720"/>
        <w:rPr>
          <w:rFonts w:ascii="Times New Roman" w:hAnsi="Times New Roman" w:cs="Times New Roman"/>
          <w:sz w:val="24"/>
          <w:szCs w:val="24"/>
        </w:rPr>
      </w:pPr>
      <w:r w:rsidRPr="00791607">
        <w:rPr>
          <w:rFonts w:ascii="Times New Roman" w:hAnsi="Times New Roman" w:cs="Times New Roman"/>
          <w:sz w:val="24"/>
          <w:szCs w:val="24"/>
        </w:rPr>
        <w:t>Thomas, Gary.</w:t>
      </w:r>
      <w:r w:rsidRPr="00791607">
        <w:rPr>
          <w:rFonts w:ascii="Times New Roman" w:hAnsi="Times New Roman" w:cs="Times New Roman"/>
          <w:i/>
          <w:iCs/>
          <w:sz w:val="24"/>
          <w:szCs w:val="24"/>
        </w:rPr>
        <w:t> The Sacred Search: What if it's Not about Who You Marry, but Why?</w:t>
      </w:r>
      <w:r w:rsidRPr="00791607">
        <w:rPr>
          <w:rFonts w:ascii="Times New Roman" w:hAnsi="Times New Roman" w:cs="Times New Roman"/>
          <w:sz w:val="24"/>
          <w:szCs w:val="24"/>
        </w:rPr>
        <w:t>. 1st ed. Colorado Springs, CO: David C Cook, 2013.</w:t>
      </w:r>
    </w:p>
    <w:sectPr w:rsidR="00791607" w:rsidRPr="007916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F54F9" w14:textId="77777777" w:rsidR="00CA60FF" w:rsidRDefault="00CA60FF" w:rsidP="00CB44F1">
      <w:pPr>
        <w:spacing w:after="0" w:line="240" w:lineRule="auto"/>
      </w:pPr>
      <w:r>
        <w:separator/>
      </w:r>
    </w:p>
  </w:endnote>
  <w:endnote w:type="continuationSeparator" w:id="0">
    <w:p w14:paraId="4D8AF3F6" w14:textId="77777777" w:rsidR="00CA60FF" w:rsidRDefault="00CA60FF" w:rsidP="00CB4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B681D" w14:textId="77777777" w:rsidR="00CA60FF" w:rsidRDefault="00CA60FF" w:rsidP="00CB44F1">
      <w:pPr>
        <w:spacing w:after="0" w:line="240" w:lineRule="auto"/>
      </w:pPr>
      <w:r>
        <w:separator/>
      </w:r>
    </w:p>
  </w:footnote>
  <w:footnote w:type="continuationSeparator" w:id="0">
    <w:p w14:paraId="09C3B8D8" w14:textId="77777777" w:rsidR="00CA60FF" w:rsidRDefault="00CA60FF" w:rsidP="00CB44F1">
      <w:pPr>
        <w:spacing w:after="0" w:line="240" w:lineRule="auto"/>
      </w:pPr>
      <w:r>
        <w:continuationSeparator/>
      </w:r>
    </w:p>
  </w:footnote>
  <w:footnote w:id="1">
    <w:p w14:paraId="4B24166E" w14:textId="77777777" w:rsidR="00AA1B9F" w:rsidRPr="0037276C" w:rsidRDefault="00AA1B9F" w:rsidP="00AA1B9F">
      <w:pPr>
        <w:spacing w:before="240" w:after="0"/>
        <w:ind w:firstLine="720"/>
        <w:rPr>
          <w:rFonts w:ascii="Times New Roman" w:hAnsi="Times New Roman" w:cs="Times New Roman"/>
          <w:sz w:val="20"/>
          <w:szCs w:val="20"/>
        </w:rPr>
      </w:pPr>
      <w:r w:rsidRPr="0037276C">
        <w:rPr>
          <w:rStyle w:val="FootnoteReference"/>
          <w:rFonts w:ascii="Times New Roman" w:hAnsi="Times New Roman" w:cs="Times New Roman"/>
          <w:sz w:val="20"/>
          <w:szCs w:val="20"/>
        </w:rPr>
        <w:footnoteRef/>
      </w:r>
      <w:r w:rsidRPr="0037276C">
        <w:rPr>
          <w:rFonts w:ascii="Times New Roman" w:hAnsi="Times New Roman" w:cs="Times New Roman"/>
          <w:sz w:val="20"/>
          <w:szCs w:val="20"/>
        </w:rPr>
        <w:t xml:space="preserve"> Francesco C. Billari and Aart C. Liefbroer. “Why Still Marry? The Role of Feelings in the Persistence of Marriage as an Institution1.” </w:t>
      </w:r>
      <w:r w:rsidRPr="0037276C">
        <w:rPr>
          <w:rFonts w:ascii="Times New Roman" w:hAnsi="Times New Roman" w:cs="Times New Roman"/>
          <w:i/>
          <w:iCs/>
          <w:sz w:val="20"/>
          <w:szCs w:val="20"/>
        </w:rPr>
        <w:t>British Journal of Sociology</w:t>
      </w:r>
      <w:r w:rsidRPr="0037276C">
        <w:rPr>
          <w:rFonts w:ascii="Times New Roman" w:hAnsi="Times New Roman" w:cs="Times New Roman"/>
          <w:sz w:val="20"/>
          <w:szCs w:val="20"/>
        </w:rPr>
        <w:t xml:space="preserve"> 67, no. 3 (September 2016): 516.</w:t>
      </w:r>
    </w:p>
  </w:footnote>
  <w:footnote w:id="2">
    <w:p w14:paraId="51FE1EFC" w14:textId="77777777" w:rsidR="00DD1C49" w:rsidRPr="0037276C" w:rsidRDefault="00DD1C49" w:rsidP="00DD1C49">
      <w:pPr>
        <w:pStyle w:val="FootnoteText"/>
        <w:spacing w:before="240"/>
        <w:ind w:firstLine="720"/>
        <w:rPr>
          <w:rFonts w:ascii="Times New Roman" w:hAnsi="Times New Roman" w:cs="Times New Roman"/>
        </w:rPr>
      </w:pPr>
      <w:r w:rsidRPr="0037276C">
        <w:rPr>
          <w:rStyle w:val="FootnoteReference"/>
          <w:rFonts w:ascii="Times New Roman" w:hAnsi="Times New Roman" w:cs="Times New Roman"/>
        </w:rPr>
        <w:footnoteRef/>
      </w:r>
      <w:r w:rsidRPr="0037276C">
        <w:rPr>
          <w:rFonts w:ascii="Times New Roman" w:hAnsi="Times New Roman" w:cs="Times New Roman"/>
        </w:rPr>
        <w:t xml:space="preserve"> Eekelaar, John. "Why People Marry: The Many Faces of an Institution." </w:t>
      </w:r>
      <w:r w:rsidRPr="0037276C">
        <w:rPr>
          <w:rFonts w:ascii="Times New Roman" w:hAnsi="Times New Roman" w:cs="Times New Roman"/>
          <w:i/>
          <w:iCs/>
        </w:rPr>
        <w:t>Family Law Quarterly</w:t>
      </w:r>
      <w:r w:rsidRPr="0037276C">
        <w:rPr>
          <w:rFonts w:ascii="Times New Roman" w:hAnsi="Times New Roman" w:cs="Times New Roman"/>
        </w:rPr>
        <w:t xml:space="preserve"> 41, no. 3 (Fall, 2007): 413.</w:t>
      </w:r>
    </w:p>
  </w:footnote>
  <w:footnote w:id="3">
    <w:p w14:paraId="1B5F1F6E" w14:textId="77777777" w:rsidR="00DD1C49" w:rsidRPr="0037276C" w:rsidRDefault="00DD1C49" w:rsidP="00DD1C49">
      <w:pPr>
        <w:spacing w:before="240" w:after="0"/>
        <w:ind w:firstLine="720"/>
        <w:rPr>
          <w:rFonts w:ascii="Times New Roman" w:hAnsi="Times New Roman" w:cs="Times New Roman"/>
          <w:sz w:val="20"/>
          <w:szCs w:val="20"/>
        </w:rPr>
      </w:pPr>
      <w:r w:rsidRPr="0037276C">
        <w:rPr>
          <w:rStyle w:val="FootnoteReference"/>
          <w:rFonts w:ascii="Times New Roman" w:hAnsi="Times New Roman" w:cs="Times New Roman"/>
          <w:sz w:val="20"/>
          <w:szCs w:val="20"/>
        </w:rPr>
        <w:footnoteRef/>
      </w:r>
      <w:r w:rsidRPr="0037276C">
        <w:rPr>
          <w:rFonts w:ascii="Times New Roman" w:hAnsi="Times New Roman" w:cs="Times New Roman"/>
          <w:sz w:val="20"/>
          <w:szCs w:val="20"/>
        </w:rPr>
        <w:t xml:space="preserve"> Gary Thomas,</w:t>
      </w:r>
      <w:r w:rsidRPr="0037276C">
        <w:rPr>
          <w:rFonts w:ascii="Times New Roman" w:hAnsi="Times New Roman" w:cs="Times New Roman"/>
          <w:i/>
          <w:iCs/>
          <w:sz w:val="20"/>
          <w:szCs w:val="20"/>
        </w:rPr>
        <w:t> The Sacred Search: What if it's Not about Who You Marry, but Why?</w:t>
      </w:r>
      <w:r w:rsidRPr="0037276C">
        <w:rPr>
          <w:rFonts w:ascii="Times New Roman" w:hAnsi="Times New Roman" w:cs="Times New Roman"/>
          <w:sz w:val="20"/>
          <w:szCs w:val="20"/>
        </w:rPr>
        <w:t xml:space="preserve"> 1st ed. (Colorado Springs, CO: David C Cook, 2013), 83-90</w:t>
      </w:r>
    </w:p>
  </w:footnote>
  <w:footnote w:id="4">
    <w:p w14:paraId="7EDB4B26" w14:textId="77777777" w:rsidR="00DD1C49" w:rsidRPr="0037276C" w:rsidRDefault="00DD1C49" w:rsidP="00DD1C49">
      <w:pPr>
        <w:pStyle w:val="FootnoteText"/>
        <w:spacing w:before="240"/>
        <w:ind w:firstLine="720"/>
        <w:rPr>
          <w:rFonts w:ascii="Times New Roman" w:hAnsi="Times New Roman" w:cs="Times New Roman"/>
        </w:rPr>
      </w:pPr>
      <w:r w:rsidRPr="0037276C">
        <w:rPr>
          <w:rStyle w:val="FootnoteReference"/>
          <w:rFonts w:ascii="Times New Roman" w:hAnsi="Times New Roman" w:cs="Times New Roman"/>
        </w:rPr>
        <w:footnoteRef/>
      </w:r>
      <w:r w:rsidRPr="0037276C">
        <w:rPr>
          <w:rFonts w:ascii="Times New Roman" w:hAnsi="Times New Roman" w:cs="Times New Roman"/>
        </w:rPr>
        <w:t xml:space="preserve"> Ibid., 84.</w:t>
      </w:r>
    </w:p>
  </w:footnote>
  <w:footnote w:id="5">
    <w:p w14:paraId="6AD207CA" w14:textId="77777777" w:rsidR="00DD1C49" w:rsidRPr="0037276C" w:rsidRDefault="00DD1C49" w:rsidP="00DD1C49">
      <w:pPr>
        <w:pStyle w:val="FootnoteText"/>
        <w:spacing w:before="240"/>
        <w:ind w:firstLine="720"/>
        <w:rPr>
          <w:rFonts w:ascii="Times New Roman" w:hAnsi="Times New Roman" w:cs="Times New Roman"/>
        </w:rPr>
      </w:pPr>
      <w:r w:rsidRPr="0037276C">
        <w:rPr>
          <w:rStyle w:val="FootnoteReference"/>
          <w:rFonts w:ascii="Times New Roman" w:hAnsi="Times New Roman" w:cs="Times New Roman"/>
        </w:rPr>
        <w:footnoteRef/>
      </w:r>
      <w:r w:rsidRPr="0037276C">
        <w:rPr>
          <w:rFonts w:ascii="Times New Roman" w:hAnsi="Times New Roman" w:cs="Times New Roman"/>
        </w:rPr>
        <w:t xml:space="preserve"> Ibid., 87.</w:t>
      </w:r>
    </w:p>
  </w:footnote>
  <w:footnote w:id="6">
    <w:p w14:paraId="02B10EF8" w14:textId="77777777" w:rsidR="00DD1C49" w:rsidRPr="0037276C" w:rsidRDefault="00DD1C49" w:rsidP="00DD1C49">
      <w:pPr>
        <w:pStyle w:val="FootnoteText"/>
        <w:spacing w:before="240"/>
        <w:ind w:firstLine="720"/>
        <w:rPr>
          <w:rFonts w:ascii="Times New Roman" w:hAnsi="Times New Roman" w:cs="Times New Roman"/>
        </w:rPr>
      </w:pPr>
      <w:r w:rsidRPr="0037276C">
        <w:rPr>
          <w:rStyle w:val="FootnoteReference"/>
          <w:rFonts w:ascii="Times New Roman" w:hAnsi="Times New Roman" w:cs="Times New Roman"/>
        </w:rPr>
        <w:footnoteRef/>
      </w:r>
      <w:r w:rsidRPr="0037276C">
        <w:rPr>
          <w:rFonts w:ascii="Times New Roman" w:hAnsi="Times New Roman" w:cs="Times New Roman"/>
        </w:rPr>
        <w:t xml:space="preserve">   Hatch, Alison. “Saying ‘I Don’t’ to Matrimony: An Investigation of Why Long-Term Heterosexual Cohabitors Choose Not to Marry.” Journal of Family Issues 38, no. 12 (August 2017): 1659-68.</w:t>
      </w:r>
    </w:p>
  </w:footnote>
  <w:footnote w:id="7">
    <w:p w14:paraId="566442EB" w14:textId="77777777" w:rsidR="003E2D5C" w:rsidRPr="0037276C" w:rsidRDefault="003E2D5C" w:rsidP="003E2D5C">
      <w:pPr>
        <w:pStyle w:val="FootnoteText"/>
        <w:spacing w:before="240"/>
        <w:ind w:firstLine="720"/>
        <w:rPr>
          <w:rFonts w:ascii="Times New Roman" w:hAnsi="Times New Roman" w:cs="Times New Roman"/>
        </w:rPr>
      </w:pPr>
      <w:r w:rsidRPr="0037276C">
        <w:rPr>
          <w:rStyle w:val="FootnoteReference"/>
          <w:rFonts w:ascii="Times New Roman" w:hAnsi="Times New Roman" w:cs="Times New Roman"/>
        </w:rPr>
        <w:footnoteRef/>
      </w:r>
      <w:r w:rsidRPr="0037276C">
        <w:rPr>
          <w:rFonts w:ascii="Times New Roman" w:hAnsi="Times New Roman" w:cs="Times New Roman"/>
        </w:rPr>
        <w:t xml:space="preserve"> Ibid., 1667.</w:t>
      </w:r>
    </w:p>
  </w:footnote>
  <w:footnote w:id="8">
    <w:p w14:paraId="44159136" w14:textId="77777777" w:rsidR="003E2D5C" w:rsidRPr="0037276C" w:rsidRDefault="003E2D5C" w:rsidP="003E2D5C">
      <w:pPr>
        <w:pStyle w:val="FootnoteText"/>
        <w:spacing w:before="240"/>
        <w:ind w:firstLine="720"/>
        <w:rPr>
          <w:rFonts w:ascii="Times New Roman" w:hAnsi="Times New Roman" w:cs="Times New Roman"/>
        </w:rPr>
      </w:pPr>
      <w:r w:rsidRPr="0037276C">
        <w:rPr>
          <w:rStyle w:val="FootnoteReference"/>
          <w:rFonts w:ascii="Times New Roman" w:hAnsi="Times New Roman" w:cs="Times New Roman"/>
        </w:rPr>
        <w:footnoteRef/>
      </w:r>
      <w:r w:rsidRPr="0037276C">
        <w:rPr>
          <w:rFonts w:ascii="Times New Roman" w:hAnsi="Times New Roman" w:cs="Times New Roman"/>
        </w:rPr>
        <w:t xml:space="preserve"> Unless otherwise noted, all biblical passages referenced are in the </w:t>
      </w:r>
      <w:r w:rsidRPr="0037276C">
        <w:rPr>
          <w:rFonts w:ascii="Times New Roman" w:hAnsi="Times New Roman" w:cs="Times New Roman"/>
          <w:i/>
          <w:iCs/>
        </w:rPr>
        <w:t>New International Version</w:t>
      </w:r>
      <w:r w:rsidRPr="0037276C">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DE2"/>
    <w:rsid w:val="00046C72"/>
    <w:rsid w:val="00096EE6"/>
    <w:rsid w:val="001529BB"/>
    <w:rsid w:val="0025643A"/>
    <w:rsid w:val="00297ABD"/>
    <w:rsid w:val="0037276C"/>
    <w:rsid w:val="003C5518"/>
    <w:rsid w:val="003E2D5C"/>
    <w:rsid w:val="004C0D4D"/>
    <w:rsid w:val="00640F88"/>
    <w:rsid w:val="006C4361"/>
    <w:rsid w:val="006F7FCE"/>
    <w:rsid w:val="00707151"/>
    <w:rsid w:val="00791607"/>
    <w:rsid w:val="007C4DD0"/>
    <w:rsid w:val="007D4A93"/>
    <w:rsid w:val="00844A6F"/>
    <w:rsid w:val="008832B5"/>
    <w:rsid w:val="008C7B36"/>
    <w:rsid w:val="008D1B1A"/>
    <w:rsid w:val="00973919"/>
    <w:rsid w:val="009739A0"/>
    <w:rsid w:val="009A7E8B"/>
    <w:rsid w:val="00A52497"/>
    <w:rsid w:val="00AA1B9F"/>
    <w:rsid w:val="00AD749C"/>
    <w:rsid w:val="00B141CA"/>
    <w:rsid w:val="00B87DE2"/>
    <w:rsid w:val="00B92927"/>
    <w:rsid w:val="00BF62F3"/>
    <w:rsid w:val="00C07C1B"/>
    <w:rsid w:val="00CA60FF"/>
    <w:rsid w:val="00CB44F1"/>
    <w:rsid w:val="00DD1C49"/>
    <w:rsid w:val="00E31E4F"/>
    <w:rsid w:val="00E91422"/>
    <w:rsid w:val="00EA021F"/>
    <w:rsid w:val="00ED3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0C78"/>
  <w15:chartTrackingRefBased/>
  <w15:docId w15:val="{BB359EAD-0F1F-4698-BAED-81844490D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7DE2"/>
    <w:rPr>
      <w:color w:val="0563C1" w:themeColor="hyperlink"/>
      <w:u w:val="single"/>
    </w:rPr>
  </w:style>
  <w:style w:type="character" w:styleId="UnresolvedMention">
    <w:name w:val="Unresolved Mention"/>
    <w:basedOn w:val="DefaultParagraphFont"/>
    <w:uiPriority w:val="99"/>
    <w:semiHidden/>
    <w:unhideWhenUsed/>
    <w:rsid w:val="00B87DE2"/>
    <w:rPr>
      <w:color w:val="605E5C"/>
      <w:shd w:val="clear" w:color="auto" w:fill="E1DFDD"/>
    </w:rPr>
  </w:style>
  <w:style w:type="paragraph" w:styleId="FootnoteText">
    <w:name w:val="footnote text"/>
    <w:basedOn w:val="Normal"/>
    <w:link w:val="FootnoteTextChar"/>
    <w:uiPriority w:val="99"/>
    <w:semiHidden/>
    <w:unhideWhenUsed/>
    <w:rsid w:val="00CB44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44F1"/>
    <w:rPr>
      <w:sz w:val="20"/>
      <w:szCs w:val="20"/>
    </w:rPr>
  </w:style>
  <w:style w:type="character" w:styleId="FootnoteReference">
    <w:name w:val="footnote reference"/>
    <w:basedOn w:val="DefaultParagraphFont"/>
    <w:uiPriority w:val="99"/>
    <w:semiHidden/>
    <w:unhideWhenUsed/>
    <w:rsid w:val="00CB44F1"/>
    <w:rPr>
      <w:vertAlign w:val="superscript"/>
    </w:rPr>
  </w:style>
  <w:style w:type="character" w:customStyle="1" w:styleId="text">
    <w:name w:val="text"/>
    <w:basedOn w:val="DefaultParagraphFont"/>
    <w:rsid w:val="00844A6F"/>
  </w:style>
  <w:style w:type="paragraph" w:styleId="NormalWeb">
    <w:name w:val="Normal (Web)"/>
    <w:basedOn w:val="Normal"/>
    <w:uiPriority w:val="99"/>
    <w:semiHidden/>
    <w:unhideWhenUsed/>
    <w:rsid w:val="001529B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529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23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77/0192513X1557620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0CA41D3-4BA9-4AD4-8569-1412DF894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2021-11-09T20:48:00Z</dcterms:created>
  <dcterms:modified xsi:type="dcterms:W3CDTF">2021-11-11T18:33:00Z</dcterms:modified>
</cp:coreProperties>
</file>