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05EBA155" w14:textId="0119FF55" w:rsidR="00DF7AA0" w:rsidRPr="00872F9C" w:rsidRDefault="00DF7AA0" w:rsidP="00DF7AA0">
      <w:pPr>
        <w:jc w:val="center"/>
        <w:rPr>
          <w:rFonts w:cs="Times New Roman"/>
          <w:b/>
          <w:bCs/>
          <w:szCs w:val="24"/>
        </w:rPr>
      </w:pPr>
      <w:r>
        <w:rPr>
          <w:rFonts w:cs="Times New Roman"/>
          <w:b/>
          <w:bCs/>
          <w:szCs w:val="24"/>
        </w:rPr>
        <w:t>Practical Book Review Assignment</w:t>
      </w:r>
    </w:p>
    <w:p w14:paraId="3B98E257" w14:textId="77777777" w:rsidR="00DF7AA0" w:rsidRPr="00872F9C" w:rsidRDefault="00DF7AA0" w:rsidP="00DF7AA0">
      <w:pPr>
        <w:rPr>
          <w:rFonts w:cs="Times New Roman"/>
          <w:szCs w:val="24"/>
        </w:rPr>
      </w:pPr>
    </w:p>
    <w:p w14:paraId="733000BD" w14:textId="77777777" w:rsidR="00DF7AA0" w:rsidRPr="00872F9C" w:rsidRDefault="00DF7AA0" w:rsidP="00DF7AA0">
      <w:pPr>
        <w:rPr>
          <w:rFonts w:cs="Times New Roman"/>
          <w:szCs w:val="24"/>
        </w:rPr>
      </w:pPr>
    </w:p>
    <w:p w14:paraId="13994A66" w14:textId="77777777" w:rsidR="00DF7AA0" w:rsidRPr="00872F9C" w:rsidRDefault="00DF7AA0" w:rsidP="00DF7AA0">
      <w:pPr>
        <w:jc w:val="center"/>
        <w:rPr>
          <w:rFonts w:cs="Times New Roman"/>
          <w:szCs w:val="24"/>
        </w:rPr>
      </w:pPr>
      <w:r w:rsidRPr="00872F9C">
        <w:rPr>
          <w:rFonts w:cs="Times New Roman"/>
          <w:szCs w:val="24"/>
        </w:rPr>
        <w:t xml:space="preserve">Submitted to Dr. </w:t>
      </w:r>
      <w:r>
        <w:rPr>
          <w:rFonts w:cs="Times New Roman"/>
          <w:szCs w:val="24"/>
        </w:rPr>
        <w:t>Kristy Ford</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77777777" w:rsidR="00DF7AA0" w:rsidRPr="00872F9C" w:rsidRDefault="00DF7AA0" w:rsidP="00DF7AA0">
      <w:pPr>
        <w:jc w:val="center"/>
        <w:rPr>
          <w:rFonts w:cs="Times New Roman"/>
          <w:szCs w:val="24"/>
        </w:rPr>
      </w:pPr>
      <w:r>
        <w:rPr>
          <w:rFonts w:cs="Times New Roman"/>
          <w:szCs w:val="24"/>
        </w:rPr>
        <w:t>PACO- 500</w:t>
      </w:r>
    </w:p>
    <w:p w14:paraId="7F08F1B1" w14:textId="77777777" w:rsidR="00DF7AA0" w:rsidRPr="00872F9C" w:rsidRDefault="00DF7AA0" w:rsidP="00DF7AA0">
      <w:pPr>
        <w:jc w:val="center"/>
        <w:rPr>
          <w:rFonts w:cs="Times New Roman"/>
          <w:szCs w:val="24"/>
        </w:rPr>
      </w:pPr>
      <w:r>
        <w:rPr>
          <w:rFonts w:cs="Times New Roman"/>
          <w:szCs w:val="24"/>
        </w:rPr>
        <w:t>Introduction to Pastoral Counseling</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763184D4" w:rsidR="00DF7AA0" w:rsidRPr="00872F9C" w:rsidRDefault="00DF7AA0"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4</w:t>
      </w:r>
      <w:r w:rsidRPr="00872F9C">
        <w:rPr>
          <w:rFonts w:cs="Times New Roman"/>
          <w:szCs w:val="24"/>
        </w:rPr>
        <w:t>, 2021</w:t>
      </w:r>
    </w:p>
    <w:p w14:paraId="32848AFC" w14:textId="77777777" w:rsidR="00DF7AA0" w:rsidRPr="00872F9C" w:rsidRDefault="00DF7AA0" w:rsidP="00DF7AA0">
      <w:pPr>
        <w:rPr>
          <w:rFonts w:cs="Times New Roman"/>
          <w:b/>
          <w:szCs w:val="24"/>
        </w:rPr>
      </w:pPr>
    </w:p>
    <w:bookmarkStart w:id="2" w:name="_Toc68468075" w:displacedByCustomXml="next"/>
    <w:bookmarkStart w:id="3" w:name="_Toc58310283" w:displacedByCustomXml="next"/>
    <w:bookmarkStart w:id="4" w:name="_Toc56985422" w:displacedByCustomXml="next"/>
    <w:bookmarkStart w:id="5" w:name="_Toc56981547" w:displacedByCustomXml="next"/>
    <w:bookmarkStart w:id="6" w:name="_Toc56981059" w:displacedByCustomXml="next"/>
    <w:bookmarkStart w:id="7" w:name="_Toc56631515" w:displacedByCustomXml="next"/>
    <w:bookmarkStart w:id="8" w:name="_Toc55367818" w:displacedByCustomXml="next"/>
    <w:bookmarkStart w:id="9" w:name="_Toc56175211" w:displacedByCustomXml="next"/>
    <w:bookmarkStart w:id="10" w:name="_Toc64731567" w:displacedByCustomXml="next"/>
    <w:bookmarkStart w:id="11" w:name="_Toc65892060" w:displacedByCustomXml="next"/>
    <w:bookmarkStart w:id="12" w:name="_Toc68372845"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33148BF5" w14:textId="77777777" w:rsidR="00EC1723" w:rsidRPr="00EC1723" w:rsidRDefault="00DF7AA0" w:rsidP="00DF7AA0">
          <w:pPr>
            <w:pStyle w:val="Heading1"/>
            <w:spacing w:before="0"/>
            <w:rPr>
              <w:rFonts w:cs="Times New Roman"/>
              <w:noProof/>
            </w:rPr>
          </w:pPr>
          <w:r w:rsidRPr="00EC1723">
            <w:rPr>
              <w:rFonts w:cs="Times New Roman"/>
              <w:szCs w:val="24"/>
            </w:rPr>
            <w:t>Contents</w:t>
          </w:r>
          <w:bookmarkEnd w:id="12"/>
          <w:bookmarkEnd w:id="11"/>
          <w:bookmarkEnd w:id="10"/>
          <w:bookmarkEnd w:id="9"/>
          <w:bookmarkEnd w:id="8"/>
          <w:bookmarkEnd w:id="7"/>
          <w:bookmarkEnd w:id="6"/>
          <w:bookmarkEnd w:id="5"/>
          <w:bookmarkEnd w:id="4"/>
          <w:bookmarkEnd w:id="3"/>
          <w:bookmarkEnd w:id="2"/>
          <w:r w:rsidRPr="00EC1723">
            <w:rPr>
              <w:rFonts w:eastAsia="Century Gothic" w:cs="Times New Roman"/>
              <w:b w:val="0"/>
              <w:szCs w:val="24"/>
            </w:rPr>
            <w:fldChar w:fldCharType="begin"/>
          </w:r>
          <w:r w:rsidRPr="00EC1723">
            <w:rPr>
              <w:rFonts w:cs="Times New Roman"/>
              <w:szCs w:val="24"/>
            </w:rPr>
            <w:instrText xml:space="preserve"> TOC \o "1-3" \h \z \u </w:instrText>
          </w:r>
          <w:r w:rsidRPr="00EC1723">
            <w:rPr>
              <w:rFonts w:eastAsia="Century Gothic" w:cs="Times New Roman"/>
              <w:b w:val="0"/>
              <w:szCs w:val="24"/>
            </w:rPr>
            <w:fldChar w:fldCharType="separate"/>
          </w:r>
        </w:p>
        <w:p w14:paraId="52D5BD10" w14:textId="2A6B5FBF" w:rsidR="00EC1723" w:rsidRPr="00EC1723" w:rsidRDefault="00EC1723">
          <w:pPr>
            <w:pStyle w:val="TOC1"/>
            <w:tabs>
              <w:tab w:val="right" w:leader="dot" w:pos="9350"/>
            </w:tabs>
            <w:rPr>
              <w:rFonts w:ascii="Times New Roman" w:eastAsiaTheme="minorEastAsia" w:hAnsi="Times New Roman" w:cs="Times New Roman"/>
              <w:noProof/>
              <w:sz w:val="22"/>
              <w:szCs w:val="22"/>
            </w:rPr>
          </w:pPr>
          <w:hyperlink w:anchor="_Toc68468076" w:history="1">
            <w:r w:rsidRPr="00EC1723">
              <w:rPr>
                <w:rStyle w:val="Hyperlink"/>
                <w:rFonts w:ascii="Times New Roman" w:hAnsi="Times New Roman" w:cs="Times New Roman"/>
                <w:noProof/>
              </w:rPr>
              <w:t>SUMMARIZE</w:t>
            </w:r>
            <w:r w:rsidRPr="00EC1723">
              <w:rPr>
                <w:rFonts w:ascii="Times New Roman" w:hAnsi="Times New Roman" w:cs="Times New Roman"/>
                <w:noProof/>
                <w:webHidden/>
              </w:rPr>
              <w:tab/>
            </w:r>
            <w:r w:rsidRPr="00EC1723">
              <w:rPr>
                <w:rFonts w:ascii="Times New Roman" w:hAnsi="Times New Roman" w:cs="Times New Roman"/>
                <w:noProof/>
                <w:webHidden/>
              </w:rPr>
              <w:fldChar w:fldCharType="begin"/>
            </w:r>
            <w:r w:rsidRPr="00EC1723">
              <w:rPr>
                <w:rFonts w:ascii="Times New Roman" w:hAnsi="Times New Roman" w:cs="Times New Roman"/>
                <w:noProof/>
                <w:webHidden/>
              </w:rPr>
              <w:instrText xml:space="preserve"> PAGEREF _Toc68468076 \h </w:instrText>
            </w:r>
            <w:r w:rsidRPr="00EC1723">
              <w:rPr>
                <w:rFonts w:ascii="Times New Roman" w:hAnsi="Times New Roman" w:cs="Times New Roman"/>
                <w:noProof/>
                <w:webHidden/>
              </w:rPr>
            </w:r>
            <w:r w:rsidRPr="00EC1723">
              <w:rPr>
                <w:rFonts w:ascii="Times New Roman" w:hAnsi="Times New Roman" w:cs="Times New Roman"/>
                <w:noProof/>
                <w:webHidden/>
              </w:rPr>
              <w:fldChar w:fldCharType="separate"/>
            </w:r>
            <w:r w:rsidRPr="00EC1723">
              <w:rPr>
                <w:rFonts w:ascii="Times New Roman" w:hAnsi="Times New Roman" w:cs="Times New Roman"/>
                <w:noProof/>
                <w:webHidden/>
              </w:rPr>
              <w:t>1</w:t>
            </w:r>
            <w:r w:rsidRPr="00EC1723">
              <w:rPr>
                <w:rFonts w:ascii="Times New Roman" w:hAnsi="Times New Roman" w:cs="Times New Roman"/>
                <w:noProof/>
                <w:webHidden/>
              </w:rPr>
              <w:fldChar w:fldCharType="end"/>
            </w:r>
          </w:hyperlink>
        </w:p>
        <w:p w14:paraId="6CC2E654" w14:textId="3BA6FC00" w:rsidR="00EC1723" w:rsidRPr="00EC1723" w:rsidRDefault="00EC1723">
          <w:pPr>
            <w:pStyle w:val="TOC1"/>
            <w:tabs>
              <w:tab w:val="right" w:leader="dot" w:pos="9350"/>
            </w:tabs>
            <w:rPr>
              <w:rFonts w:ascii="Times New Roman" w:eastAsiaTheme="minorEastAsia" w:hAnsi="Times New Roman" w:cs="Times New Roman"/>
              <w:noProof/>
              <w:sz w:val="22"/>
              <w:szCs w:val="22"/>
            </w:rPr>
          </w:pPr>
          <w:hyperlink w:anchor="_Toc68468077" w:history="1">
            <w:r w:rsidRPr="00EC1723">
              <w:rPr>
                <w:rStyle w:val="Hyperlink"/>
                <w:rFonts w:ascii="Times New Roman" w:hAnsi="Times New Roman" w:cs="Times New Roman"/>
                <w:noProof/>
              </w:rPr>
              <w:t>RESPOND</w:t>
            </w:r>
            <w:r w:rsidRPr="00EC1723">
              <w:rPr>
                <w:rFonts w:ascii="Times New Roman" w:hAnsi="Times New Roman" w:cs="Times New Roman"/>
                <w:noProof/>
                <w:webHidden/>
              </w:rPr>
              <w:tab/>
            </w:r>
            <w:r w:rsidRPr="00EC1723">
              <w:rPr>
                <w:rFonts w:ascii="Times New Roman" w:hAnsi="Times New Roman" w:cs="Times New Roman"/>
                <w:noProof/>
                <w:webHidden/>
              </w:rPr>
              <w:fldChar w:fldCharType="begin"/>
            </w:r>
            <w:r w:rsidRPr="00EC1723">
              <w:rPr>
                <w:rFonts w:ascii="Times New Roman" w:hAnsi="Times New Roman" w:cs="Times New Roman"/>
                <w:noProof/>
                <w:webHidden/>
              </w:rPr>
              <w:instrText xml:space="preserve"> PAGEREF _Toc68468077 \h </w:instrText>
            </w:r>
            <w:r w:rsidRPr="00EC1723">
              <w:rPr>
                <w:rFonts w:ascii="Times New Roman" w:hAnsi="Times New Roman" w:cs="Times New Roman"/>
                <w:noProof/>
                <w:webHidden/>
              </w:rPr>
            </w:r>
            <w:r w:rsidRPr="00EC1723">
              <w:rPr>
                <w:rFonts w:ascii="Times New Roman" w:hAnsi="Times New Roman" w:cs="Times New Roman"/>
                <w:noProof/>
                <w:webHidden/>
              </w:rPr>
              <w:fldChar w:fldCharType="separate"/>
            </w:r>
            <w:r w:rsidRPr="00EC1723">
              <w:rPr>
                <w:rFonts w:ascii="Times New Roman" w:hAnsi="Times New Roman" w:cs="Times New Roman"/>
                <w:noProof/>
                <w:webHidden/>
              </w:rPr>
              <w:t>3</w:t>
            </w:r>
            <w:r w:rsidRPr="00EC1723">
              <w:rPr>
                <w:rFonts w:ascii="Times New Roman" w:hAnsi="Times New Roman" w:cs="Times New Roman"/>
                <w:noProof/>
                <w:webHidden/>
              </w:rPr>
              <w:fldChar w:fldCharType="end"/>
            </w:r>
          </w:hyperlink>
        </w:p>
        <w:p w14:paraId="0C0B045A" w14:textId="4D363ECD" w:rsidR="00EC1723" w:rsidRPr="00EC1723" w:rsidRDefault="00EC1723">
          <w:pPr>
            <w:pStyle w:val="TOC1"/>
            <w:tabs>
              <w:tab w:val="right" w:leader="dot" w:pos="9350"/>
            </w:tabs>
            <w:rPr>
              <w:rFonts w:ascii="Times New Roman" w:eastAsiaTheme="minorEastAsia" w:hAnsi="Times New Roman" w:cs="Times New Roman"/>
              <w:noProof/>
              <w:sz w:val="22"/>
              <w:szCs w:val="22"/>
            </w:rPr>
          </w:pPr>
          <w:hyperlink w:anchor="_Toc68468078" w:history="1">
            <w:r w:rsidRPr="00EC1723">
              <w:rPr>
                <w:rStyle w:val="Hyperlink"/>
                <w:rFonts w:ascii="Times New Roman" w:hAnsi="Times New Roman" w:cs="Times New Roman"/>
                <w:noProof/>
              </w:rPr>
              <w:t>REFLECT</w:t>
            </w:r>
            <w:r w:rsidRPr="00EC1723">
              <w:rPr>
                <w:rFonts w:ascii="Times New Roman" w:hAnsi="Times New Roman" w:cs="Times New Roman"/>
                <w:noProof/>
                <w:webHidden/>
              </w:rPr>
              <w:tab/>
            </w:r>
            <w:r w:rsidRPr="00EC1723">
              <w:rPr>
                <w:rFonts w:ascii="Times New Roman" w:hAnsi="Times New Roman" w:cs="Times New Roman"/>
                <w:noProof/>
                <w:webHidden/>
              </w:rPr>
              <w:fldChar w:fldCharType="begin"/>
            </w:r>
            <w:r w:rsidRPr="00EC1723">
              <w:rPr>
                <w:rFonts w:ascii="Times New Roman" w:hAnsi="Times New Roman" w:cs="Times New Roman"/>
                <w:noProof/>
                <w:webHidden/>
              </w:rPr>
              <w:instrText xml:space="preserve"> PAGEREF _Toc68468078 \h </w:instrText>
            </w:r>
            <w:r w:rsidRPr="00EC1723">
              <w:rPr>
                <w:rFonts w:ascii="Times New Roman" w:hAnsi="Times New Roman" w:cs="Times New Roman"/>
                <w:noProof/>
                <w:webHidden/>
              </w:rPr>
            </w:r>
            <w:r w:rsidRPr="00EC1723">
              <w:rPr>
                <w:rFonts w:ascii="Times New Roman" w:hAnsi="Times New Roman" w:cs="Times New Roman"/>
                <w:noProof/>
                <w:webHidden/>
              </w:rPr>
              <w:fldChar w:fldCharType="separate"/>
            </w:r>
            <w:r w:rsidRPr="00EC1723">
              <w:rPr>
                <w:rFonts w:ascii="Times New Roman" w:hAnsi="Times New Roman" w:cs="Times New Roman"/>
                <w:noProof/>
                <w:webHidden/>
              </w:rPr>
              <w:t>4</w:t>
            </w:r>
            <w:r w:rsidRPr="00EC1723">
              <w:rPr>
                <w:rFonts w:ascii="Times New Roman" w:hAnsi="Times New Roman" w:cs="Times New Roman"/>
                <w:noProof/>
                <w:webHidden/>
              </w:rPr>
              <w:fldChar w:fldCharType="end"/>
            </w:r>
          </w:hyperlink>
        </w:p>
        <w:p w14:paraId="1DB2B076" w14:textId="6B9D6535" w:rsidR="00EC1723" w:rsidRPr="00EC1723" w:rsidRDefault="00EC1723">
          <w:pPr>
            <w:pStyle w:val="TOC1"/>
            <w:tabs>
              <w:tab w:val="right" w:leader="dot" w:pos="9350"/>
            </w:tabs>
            <w:rPr>
              <w:rFonts w:ascii="Times New Roman" w:eastAsiaTheme="minorEastAsia" w:hAnsi="Times New Roman" w:cs="Times New Roman"/>
              <w:noProof/>
              <w:sz w:val="22"/>
              <w:szCs w:val="22"/>
            </w:rPr>
          </w:pPr>
          <w:hyperlink w:anchor="_Toc68468079" w:history="1">
            <w:r w:rsidRPr="00EC1723">
              <w:rPr>
                <w:rStyle w:val="Hyperlink"/>
                <w:rFonts w:ascii="Times New Roman" w:hAnsi="Times New Roman" w:cs="Times New Roman"/>
                <w:noProof/>
              </w:rPr>
              <w:t>ACT</w:t>
            </w:r>
            <w:r w:rsidRPr="00EC1723">
              <w:rPr>
                <w:rFonts w:ascii="Times New Roman" w:hAnsi="Times New Roman" w:cs="Times New Roman"/>
                <w:noProof/>
                <w:webHidden/>
              </w:rPr>
              <w:tab/>
            </w:r>
            <w:r w:rsidRPr="00EC1723">
              <w:rPr>
                <w:rFonts w:ascii="Times New Roman" w:hAnsi="Times New Roman" w:cs="Times New Roman"/>
                <w:noProof/>
                <w:webHidden/>
              </w:rPr>
              <w:fldChar w:fldCharType="begin"/>
            </w:r>
            <w:r w:rsidRPr="00EC1723">
              <w:rPr>
                <w:rFonts w:ascii="Times New Roman" w:hAnsi="Times New Roman" w:cs="Times New Roman"/>
                <w:noProof/>
                <w:webHidden/>
              </w:rPr>
              <w:instrText xml:space="preserve"> PAGEREF _Toc68468079 \h </w:instrText>
            </w:r>
            <w:r w:rsidRPr="00EC1723">
              <w:rPr>
                <w:rFonts w:ascii="Times New Roman" w:hAnsi="Times New Roman" w:cs="Times New Roman"/>
                <w:noProof/>
                <w:webHidden/>
              </w:rPr>
            </w:r>
            <w:r w:rsidRPr="00EC1723">
              <w:rPr>
                <w:rFonts w:ascii="Times New Roman" w:hAnsi="Times New Roman" w:cs="Times New Roman"/>
                <w:noProof/>
                <w:webHidden/>
              </w:rPr>
              <w:fldChar w:fldCharType="separate"/>
            </w:r>
            <w:r w:rsidRPr="00EC1723">
              <w:rPr>
                <w:rFonts w:ascii="Times New Roman" w:hAnsi="Times New Roman" w:cs="Times New Roman"/>
                <w:noProof/>
                <w:webHidden/>
              </w:rPr>
              <w:t>5</w:t>
            </w:r>
            <w:r w:rsidRPr="00EC1723">
              <w:rPr>
                <w:rFonts w:ascii="Times New Roman" w:hAnsi="Times New Roman" w:cs="Times New Roman"/>
                <w:noProof/>
                <w:webHidden/>
              </w:rPr>
              <w:fldChar w:fldCharType="end"/>
            </w:r>
          </w:hyperlink>
        </w:p>
        <w:p w14:paraId="6B286872" w14:textId="4251C665" w:rsidR="00EC1723" w:rsidRPr="00EC1723" w:rsidRDefault="00EC1723">
          <w:pPr>
            <w:pStyle w:val="TOC1"/>
            <w:tabs>
              <w:tab w:val="right" w:leader="dot" w:pos="9350"/>
            </w:tabs>
            <w:rPr>
              <w:rFonts w:ascii="Times New Roman" w:eastAsiaTheme="minorEastAsia" w:hAnsi="Times New Roman" w:cs="Times New Roman"/>
              <w:noProof/>
              <w:sz w:val="22"/>
              <w:szCs w:val="22"/>
            </w:rPr>
          </w:pPr>
          <w:hyperlink w:anchor="_Toc68468080" w:history="1">
            <w:r w:rsidRPr="00EC1723">
              <w:rPr>
                <w:rStyle w:val="Hyperlink"/>
                <w:rFonts w:ascii="Times New Roman" w:hAnsi="Times New Roman" w:cs="Times New Roman"/>
                <w:noProof/>
              </w:rPr>
              <w:t>Bibliography</w:t>
            </w:r>
            <w:r w:rsidRPr="00EC1723">
              <w:rPr>
                <w:rFonts w:ascii="Times New Roman" w:hAnsi="Times New Roman" w:cs="Times New Roman"/>
                <w:noProof/>
                <w:webHidden/>
              </w:rPr>
              <w:tab/>
            </w:r>
            <w:r w:rsidRPr="00EC1723">
              <w:rPr>
                <w:rFonts w:ascii="Times New Roman" w:hAnsi="Times New Roman" w:cs="Times New Roman"/>
                <w:noProof/>
                <w:webHidden/>
              </w:rPr>
              <w:fldChar w:fldCharType="begin"/>
            </w:r>
            <w:r w:rsidRPr="00EC1723">
              <w:rPr>
                <w:rFonts w:ascii="Times New Roman" w:hAnsi="Times New Roman" w:cs="Times New Roman"/>
                <w:noProof/>
                <w:webHidden/>
              </w:rPr>
              <w:instrText xml:space="preserve"> PAGEREF _Toc68468080 \h </w:instrText>
            </w:r>
            <w:r w:rsidRPr="00EC1723">
              <w:rPr>
                <w:rFonts w:ascii="Times New Roman" w:hAnsi="Times New Roman" w:cs="Times New Roman"/>
                <w:noProof/>
                <w:webHidden/>
              </w:rPr>
            </w:r>
            <w:r w:rsidRPr="00EC1723">
              <w:rPr>
                <w:rFonts w:ascii="Times New Roman" w:hAnsi="Times New Roman" w:cs="Times New Roman"/>
                <w:noProof/>
                <w:webHidden/>
              </w:rPr>
              <w:fldChar w:fldCharType="separate"/>
            </w:r>
            <w:r w:rsidRPr="00EC1723">
              <w:rPr>
                <w:rFonts w:ascii="Times New Roman" w:hAnsi="Times New Roman" w:cs="Times New Roman"/>
                <w:noProof/>
                <w:webHidden/>
              </w:rPr>
              <w:t>7</w:t>
            </w:r>
            <w:r w:rsidRPr="00EC1723">
              <w:rPr>
                <w:rFonts w:ascii="Times New Roman" w:hAnsi="Times New Roman" w:cs="Times New Roman"/>
                <w:noProof/>
                <w:webHidden/>
              </w:rPr>
              <w:fldChar w:fldCharType="end"/>
            </w:r>
          </w:hyperlink>
        </w:p>
        <w:p w14:paraId="5CAA2CA2" w14:textId="46FB49D9" w:rsidR="00DF7AA0" w:rsidRPr="00872F9C" w:rsidRDefault="00DF7AA0" w:rsidP="00DF7AA0">
          <w:pPr>
            <w:rPr>
              <w:rFonts w:cs="Times New Roman"/>
              <w:szCs w:val="24"/>
            </w:rPr>
          </w:pPr>
          <w:r w:rsidRPr="00EC1723">
            <w:rPr>
              <w:rFonts w:cs="Times New Roman"/>
              <w:b/>
              <w:bCs/>
              <w:noProof/>
              <w:szCs w:val="24"/>
            </w:rPr>
            <w:fldChar w:fldCharType="end"/>
          </w:r>
        </w:p>
      </w:sdtContent>
    </w:sdt>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362879AF" w14:textId="0147A8B4" w:rsidR="00DF7AA0" w:rsidRDefault="00DF7AA0" w:rsidP="00DF7AA0">
      <w:pPr>
        <w:pStyle w:val="Heading1"/>
      </w:pPr>
      <w:bookmarkStart w:id="13" w:name="_Toc68468076"/>
      <w:r>
        <w:lastRenderedPageBreak/>
        <w:t>SUMMARIZE</w:t>
      </w:r>
      <w:bookmarkEnd w:id="13"/>
    </w:p>
    <w:p w14:paraId="433A3C95" w14:textId="0EE0E9FF" w:rsidR="00A70787" w:rsidRDefault="00A70787" w:rsidP="00626AE7">
      <w:pPr>
        <w:pStyle w:val="NormalWeb"/>
        <w:spacing w:before="0" w:beforeAutospacing="0" w:after="0" w:afterAutospacing="0" w:line="480" w:lineRule="auto"/>
        <w:ind w:firstLine="720"/>
        <w:rPr>
          <w:color w:val="0E101A"/>
        </w:rPr>
      </w:pPr>
      <w:r>
        <w:rPr>
          <w:color w:val="0E101A"/>
        </w:rPr>
        <w:t>Jim Peterson’s book </w:t>
      </w:r>
      <w:r>
        <w:rPr>
          <w:rStyle w:val="Emphasis"/>
          <w:color w:val="0E101A"/>
        </w:rPr>
        <w:t>Why Don’t We Listen Better?</w:t>
      </w:r>
      <w:r>
        <w:rPr>
          <w:color w:val="0E101A"/>
        </w:rPr>
        <w:t> is arguably one of the best books on communication. The book seeks to help relationships by insisting that the key to a thriving relationship is good communication based on a heightened emphasis on listening. Jim Peterson, the author sees the book as an attempt to help readers overcome the combative communication habits their culture drums into them. Besides, this book assists the reader’s journey of self-discovery, understanding of people, and realization of the ideal relationship.</w:t>
      </w:r>
      <w:r w:rsidR="00626AE7" w:rsidRPr="00626AE7">
        <w:rPr>
          <w:rStyle w:val="FootnoteReference"/>
        </w:rPr>
        <w:t xml:space="preserve"> </w:t>
      </w:r>
      <w:r w:rsidR="00626AE7">
        <w:rPr>
          <w:rStyle w:val="FootnoteReference"/>
        </w:rPr>
        <w:footnoteReference w:id="1"/>
      </w:r>
    </w:p>
    <w:p w14:paraId="2C32EBBC" w14:textId="3845D229" w:rsidR="00A70787" w:rsidRDefault="00A70787" w:rsidP="00626AE7">
      <w:pPr>
        <w:pStyle w:val="NormalWeb"/>
        <w:spacing w:before="0" w:beforeAutospacing="0" w:after="0" w:afterAutospacing="0" w:line="480" w:lineRule="auto"/>
        <w:ind w:firstLine="720"/>
        <w:rPr>
          <w:color w:val="0E101A"/>
        </w:rPr>
      </w:pPr>
      <w:r>
        <w:rPr>
          <w:color w:val="0E101A"/>
        </w:rPr>
        <w:t>Part one of the book discusses how human beings make sense of their feelings and thoughts. The book proposes that language that communicates best should comprise Stomach, heart, and head talk. The stomach talks put feelings into words. The heart talks put ownership and openness into words, and the head talks put thoughts into words.</w:t>
      </w:r>
      <w:r w:rsidR="00626AE7" w:rsidRPr="00626AE7">
        <w:rPr>
          <w:rStyle w:val="FootnoteReference"/>
        </w:rPr>
        <w:t xml:space="preserve"> </w:t>
      </w:r>
      <w:r w:rsidR="00626AE7">
        <w:rPr>
          <w:rStyle w:val="FootnoteReference"/>
        </w:rPr>
        <w:footnoteReference w:id="2"/>
      </w:r>
      <w:r>
        <w:rPr>
          <w:color w:val="0E101A"/>
        </w:rPr>
        <w:t> In this advent, Jim Peterson coins a theory known as the "Flat Brain Theory of Emotions.” According to him, the Flat Brain Theory of Emotions pictures how humans operate when their brains are functioning well.</w:t>
      </w:r>
      <w:r w:rsidR="00626AE7" w:rsidRPr="00626AE7">
        <w:rPr>
          <w:rStyle w:val="FootnoteReference"/>
        </w:rPr>
        <w:t xml:space="preserve"> </w:t>
      </w:r>
      <w:r w:rsidR="00626AE7">
        <w:rPr>
          <w:rStyle w:val="FootnoteReference"/>
        </w:rPr>
        <w:footnoteReference w:id="3"/>
      </w:r>
      <w:r>
        <w:rPr>
          <w:color w:val="0E101A"/>
        </w:rPr>
        <w:t> When their brains are not functioning well or, in other words, their emotions are getting the better of them. He calls the miscommunication “Flat Brain Syndrome.”</w:t>
      </w:r>
      <w:r w:rsidR="00626AE7" w:rsidRPr="00626AE7">
        <w:rPr>
          <w:rStyle w:val="FootnoteReference"/>
        </w:rPr>
        <w:t xml:space="preserve"> </w:t>
      </w:r>
      <w:r w:rsidR="00626AE7">
        <w:rPr>
          <w:rStyle w:val="FootnoteReference"/>
        </w:rPr>
        <w:footnoteReference w:id="4"/>
      </w:r>
      <w:r w:rsidR="00626AE7">
        <w:t xml:space="preserve"> </w:t>
      </w:r>
      <w:r>
        <w:rPr>
          <w:color w:val="0E101A"/>
        </w:rPr>
        <w:t>Often persons who have such Syndrome tend to accuse, attack, label, and judge people.</w:t>
      </w:r>
      <w:r w:rsidR="00626AE7" w:rsidRPr="00626AE7">
        <w:rPr>
          <w:rStyle w:val="FootnoteReference"/>
        </w:rPr>
        <w:t xml:space="preserve"> </w:t>
      </w:r>
      <w:r w:rsidR="00626AE7">
        <w:rPr>
          <w:rStyle w:val="FootnoteReference"/>
        </w:rPr>
        <w:footnoteReference w:id="5"/>
      </w:r>
      <w:r>
        <w:rPr>
          <w:color w:val="0E101A"/>
        </w:rPr>
        <w:t> Another undesirable communication problem highlighted is, “Flat Brain Tango.” Jim explains this problem as talking without taking turns. </w:t>
      </w:r>
    </w:p>
    <w:p w14:paraId="388A4957" w14:textId="758F25C9" w:rsidR="00A70787" w:rsidRDefault="00A70787" w:rsidP="00626AE7">
      <w:pPr>
        <w:pStyle w:val="NormalWeb"/>
        <w:spacing w:before="0" w:beforeAutospacing="0" w:after="0" w:afterAutospacing="0" w:line="480" w:lineRule="auto"/>
        <w:ind w:firstLine="720"/>
        <w:rPr>
          <w:color w:val="0E101A"/>
        </w:rPr>
      </w:pPr>
      <w:r>
        <w:rPr>
          <w:color w:val="0E101A"/>
        </w:rPr>
        <w:lastRenderedPageBreak/>
        <w:t>In part two, Peterson continues to weave through several other listening techniques. In this section, he primarily concentrates on dealing with negative communication. Herein, he introduces a listening technique known as the Tracker Listener Card. The TLC is a pocket size card that two people in a conversation put between them to indicate ground rules for their communication. TLC proposes that communication works well if the process entails taking turns talking and listening.</w:t>
      </w:r>
      <w:r w:rsidR="00626AE7" w:rsidRPr="00626AE7">
        <w:rPr>
          <w:rStyle w:val="FootnoteReference"/>
        </w:rPr>
        <w:t xml:space="preserve"> </w:t>
      </w:r>
      <w:r w:rsidR="00626AE7">
        <w:rPr>
          <w:rStyle w:val="FootnoteReference"/>
        </w:rPr>
        <w:footnoteReference w:id="6"/>
      </w:r>
    </w:p>
    <w:p w14:paraId="2C2C515E" w14:textId="77777777" w:rsidR="00A70787" w:rsidRDefault="00A70787" w:rsidP="00626AE7">
      <w:pPr>
        <w:pStyle w:val="NormalWeb"/>
        <w:spacing w:before="0" w:beforeAutospacing="0" w:after="0" w:afterAutospacing="0" w:line="480" w:lineRule="auto"/>
        <w:ind w:firstLine="720"/>
        <w:rPr>
          <w:color w:val="0E101A"/>
        </w:rPr>
      </w:pPr>
      <w:r>
        <w:rPr>
          <w:color w:val="0E101A"/>
        </w:rPr>
        <w:t>Part three of the book focuses on more advanced and specialized listening skills. Peterson begins by highlighting ten communication traps. Furthermore, he discusses some essential modes and attitudes that could help keep communication flowing. Some of these modes include allowing space, matching pace, and meeting intensity. Lastly, Peterson mentions difficult situations in which the Talker Listener technique may not be enough. Some examples include grieving and painful or horrific loss. To handle these situations, he asserts that the listener must be sensitive and discerning to discern whether to be calm or not, agree with or disagree, and so forth. The important thing is that the counselor should place himself in the shoes of the counselee.</w:t>
      </w:r>
    </w:p>
    <w:p w14:paraId="3B3A56EB" w14:textId="093CB35E" w:rsidR="00A70787" w:rsidRDefault="00A70787" w:rsidP="00626AE7">
      <w:pPr>
        <w:pStyle w:val="NormalWeb"/>
        <w:spacing w:before="0" w:beforeAutospacing="0" w:after="0" w:afterAutospacing="0" w:line="480" w:lineRule="auto"/>
        <w:ind w:firstLine="720"/>
        <w:rPr>
          <w:color w:val="0E101A"/>
        </w:rPr>
      </w:pPr>
      <w:r>
        <w:rPr>
          <w:color w:val="0E101A"/>
        </w:rPr>
        <w:t xml:space="preserve">So what? Like the title implicitly posits, this book is an attempt to fix a key communication problem- not listening. Gathering from the book, one is likely to see themselves in one, two, or three scenarios where they did not understand the other because they did not listen. The book gives hope to a deteriorating relationship. It encourages the reader to change from the inside out. In the end, if the thirty-three listening techniques are applied, it is more likely that the individual will enjoy the gift of improved relationships with those that matter in </w:t>
      </w:r>
      <w:r>
        <w:rPr>
          <w:color w:val="0E101A"/>
        </w:rPr>
        <w:lastRenderedPageBreak/>
        <w:t>their lives or those that they are concerned about. For a counseling situation, the techniques help reduce disturbance, clarify thinking, increase self-confidence and build supportive friendships.</w:t>
      </w:r>
      <w:r w:rsidR="00626AE7" w:rsidRPr="00626AE7">
        <w:rPr>
          <w:rStyle w:val="FootnoteReference"/>
        </w:rPr>
        <w:t xml:space="preserve"> </w:t>
      </w:r>
      <w:r w:rsidR="00626AE7">
        <w:rPr>
          <w:rStyle w:val="FootnoteReference"/>
        </w:rPr>
        <w:footnoteReference w:id="7"/>
      </w:r>
    </w:p>
    <w:p w14:paraId="4825520F" w14:textId="77777777" w:rsidR="00A70787" w:rsidRDefault="00A70787" w:rsidP="00626AE7">
      <w:pPr>
        <w:pStyle w:val="Heading1"/>
        <w:spacing w:before="0"/>
        <w:rPr>
          <w:b w:val="0"/>
          <w:color w:val="0E101A"/>
        </w:rPr>
      </w:pPr>
      <w:bookmarkStart w:id="14" w:name="_Toc68468077"/>
      <w:r w:rsidRPr="00626AE7">
        <w:rPr>
          <w:color w:val="0E101A"/>
        </w:rPr>
        <w:t>RESPOND</w:t>
      </w:r>
      <w:bookmarkEnd w:id="14"/>
    </w:p>
    <w:p w14:paraId="5AC9D760" w14:textId="77777777" w:rsidR="00A70787" w:rsidRDefault="00A70787" w:rsidP="00626AE7">
      <w:pPr>
        <w:pStyle w:val="NormalWeb"/>
        <w:spacing w:before="0" w:beforeAutospacing="0" w:after="0" w:afterAutospacing="0" w:line="480" w:lineRule="auto"/>
        <w:rPr>
          <w:color w:val="0E101A"/>
        </w:rPr>
      </w:pPr>
      <w:r>
        <w:rPr>
          <w:rStyle w:val="Strong"/>
          <w:color w:val="0E101A"/>
        </w:rPr>
        <w:t>The Me I See Now</w:t>
      </w:r>
    </w:p>
    <w:p w14:paraId="0C58541F" w14:textId="50E61D55" w:rsidR="00A70787" w:rsidRDefault="00A70787" w:rsidP="00626AE7">
      <w:pPr>
        <w:pStyle w:val="NormalWeb"/>
        <w:spacing w:before="0" w:beforeAutospacing="0" w:after="0" w:afterAutospacing="0" w:line="480" w:lineRule="auto"/>
        <w:ind w:firstLine="720"/>
        <w:rPr>
          <w:color w:val="0E101A"/>
        </w:rPr>
      </w:pPr>
      <w:r>
        <w:rPr>
          <w:color w:val="0E101A"/>
        </w:rPr>
        <w:t>“You are not listening.”</w:t>
      </w:r>
      <w:r w:rsidR="00626AE7" w:rsidRPr="00626AE7">
        <w:rPr>
          <w:rStyle w:val="FootnoteReference"/>
        </w:rPr>
        <w:t xml:space="preserve"> </w:t>
      </w:r>
      <w:r w:rsidR="00626AE7">
        <w:rPr>
          <w:rStyle w:val="FootnoteReference"/>
        </w:rPr>
        <w:footnoteReference w:id="8"/>
      </w:r>
      <w:r>
        <w:rPr>
          <w:color w:val="0E101A"/>
        </w:rPr>
        <w:t> Perhaps this is one of the most frequent statements I have heard from my wife. Often, I have wondered what could be the problem? What am I not hearing? How bad is it? Coming across this statement in this book threw me on my feet. I was so curious. I wanted to know what she means when she says that. The answer came out clear in the end where Jim Peterson offers the solution of interrupting when someone talks-not to take over the conversation or give it a new direction but to show that you are keenly following. Usually, when my wife is talking, I just keep quiet, unmoved, and listen. Then she accuses me of not listening, and I will respond that I was listening. That begins the genesis of a fruitless defending of myself. Most of the time I did not see what was the big deal.</w:t>
      </w:r>
    </w:p>
    <w:p w14:paraId="339FDF5C" w14:textId="77777777" w:rsidR="00A70787" w:rsidRDefault="00A70787" w:rsidP="00626AE7">
      <w:pPr>
        <w:pStyle w:val="NormalWeb"/>
        <w:spacing w:before="0" w:beforeAutospacing="0" w:after="0" w:afterAutospacing="0" w:line="480" w:lineRule="auto"/>
        <w:ind w:firstLine="720"/>
        <w:rPr>
          <w:color w:val="0E101A"/>
        </w:rPr>
      </w:pPr>
      <w:r>
        <w:rPr>
          <w:color w:val="0E101A"/>
        </w:rPr>
        <w:t> I see myself as a passive listener. Sometimes this brings calmness, but other times, it leads my thoughts to wonder. My wife could be speaking for some time and in the end, I would not remember even one thing she has said. One of the biggest blunders I make is defending myself by saying that I was listening. Then she will ask, “What did I say?”</w:t>
      </w:r>
    </w:p>
    <w:p w14:paraId="1748ABCF" w14:textId="23B5FC11" w:rsidR="00A70787" w:rsidRDefault="00A70787" w:rsidP="00626AE7">
      <w:pPr>
        <w:pStyle w:val="NormalWeb"/>
        <w:spacing w:before="0" w:beforeAutospacing="0" w:after="0" w:afterAutospacing="0" w:line="480" w:lineRule="auto"/>
        <w:ind w:firstLine="720"/>
        <w:rPr>
          <w:color w:val="0E101A"/>
        </w:rPr>
      </w:pPr>
      <w:r>
        <w:rPr>
          <w:color w:val="0E101A"/>
        </w:rPr>
        <w:t>This reminds me of a verse in the book of James: “My dear brothers and sisters, take note of this: Everyone should be quick to listen, slow to speak and slow to become angry. (James 1:19).</w:t>
      </w:r>
      <w:r w:rsidR="00626AE7" w:rsidRPr="00626AE7">
        <w:rPr>
          <w:rStyle w:val="FootnoteReference"/>
        </w:rPr>
        <w:t xml:space="preserve"> </w:t>
      </w:r>
      <w:r w:rsidR="00626AE7">
        <w:rPr>
          <w:rStyle w:val="FootnoteReference"/>
        </w:rPr>
        <w:footnoteReference w:id="9"/>
      </w:r>
      <w:r>
        <w:rPr>
          <w:color w:val="0E101A"/>
        </w:rPr>
        <w:t xml:space="preserve"> To put forth what the apostle James is not saying, he is simply saying that I should not be </w:t>
      </w:r>
      <w:r>
        <w:rPr>
          <w:color w:val="0E101A"/>
        </w:rPr>
        <w:lastRenderedPageBreak/>
        <w:t>obsessed with being heard or understood. Instead, I should seek to know why my wife thinks I am not listening to change for the better.</w:t>
      </w:r>
    </w:p>
    <w:p w14:paraId="59F3E071" w14:textId="77777777" w:rsidR="00A70787" w:rsidRDefault="00A70787" w:rsidP="00626AE7">
      <w:pPr>
        <w:pStyle w:val="NormalWeb"/>
        <w:spacing w:before="0" w:beforeAutospacing="0" w:after="0" w:afterAutospacing="0" w:line="480" w:lineRule="auto"/>
        <w:ind w:firstLine="720"/>
        <w:rPr>
          <w:color w:val="0E101A"/>
        </w:rPr>
      </w:pPr>
      <w:r>
        <w:rPr>
          <w:color w:val="0E101A"/>
        </w:rPr>
        <w:t>Besides, in my pastoral work, I have often found myself trying to solve a problem for the counselees instead of letting them solve their problems. Recently, my cousin sought my help on a particular issue. I thought that since he has come to me, he somehow wanted answers from me. So, I readily told him what to do about his marriage problem. We made some decisions to be followed. Fortunately, or unfortunately, he went and continued in his past ways. The book has demonstrated that this is not a good idea. I should let the counselee own their problem.</w:t>
      </w:r>
    </w:p>
    <w:p w14:paraId="7BF62A63" w14:textId="77777777" w:rsidR="00A70787" w:rsidRDefault="00A70787" w:rsidP="00626AE7">
      <w:pPr>
        <w:pStyle w:val="Heading1"/>
        <w:spacing w:before="0"/>
        <w:rPr>
          <w:b w:val="0"/>
          <w:color w:val="0E101A"/>
        </w:rPr>
      </w:pPr>
      <w:bookmarkStart w:id="15" w:name="_Toc68468078"/>
      <w:r w:rsidRPr="00626AE7">
        <w:rPr>
          <w:color w:val="0E101A"/>
        </w:rPr>
        <w:t>REFLECT</w:t>
      </w:r>
      <w:bookmarkEnd w:id="15"/>
    </w:p>
    <w:p w14:paraId="2DC501EA" w14:textId="77777777" w:rsidR="00A70787" w:rsidRDefault="00A70787" w:rsidP="00626AE7">
      <w:pPr>
        <w:pStyle w:val="NormalWeb"/>
        <w:spacing w:before="0" w:beforeAutospacing="0" w:after="0" w:afterAutospacing="0" w:line="480" w:lineRule="auto"/>
        <w:rPr>
          <w:color w:val="0E101A"/>
        </w:rPr>
      </w:pPr>
      <w:r>
        <w:rPr>
          <w:rStyle w:val="Strong"/>
          <w:color w:val="0E101A"/>
        </w:rPr>
        <w:t>The Me I Want to See Soon</w:t>
      </w:r>
    </w:p>
    <w:p w14:paraId="79E741D9" w14:textId="77777777" w:rsidR="00A70787" w:rsidRDefault="00A70787" w:rsidP="00626AE7">
      <w:pPr>
        <w:pStyle w:val="NormalWeb"/>
        <w:spacing w:before="0" w:beforeAutospacing="0" w:after="0" w:afterAutospacing="0" w:line="480" w:lineRule="auto"/>
        <w:ind w:firstLine="720"/>
        <w:rPr>
          <w:color w:val="0E101A"/>
        </w:rPr>
      </w:pPr>
      <w:r>
        <w:rPr>
          <w:color w:val="0E101A"/>
        </w:rPr>
        <w:t>I want to see a person in me who not only listens but listens actively. Some of the techniques I found useful include, acknowledging, repeating accurately, and admitting ignorance. From an African background, listening has different connotations. For instance, in my culture, women are not supposed to talk back to husbands, much less demanding to be heard. The idea of a wife talking and the husband listening and vice versa is frowned upon (Our culture is changing however in the last two decades). “Women are supposed to be seen and not heard,” is a common phrase across most African tribes. In several other African tribes, women are not given a chance to talk when solving conflict. Someone else talks on their behalf. If for instance, I have an issue with my wife, she would go and talk to her kin who would come and relay her concerns. Note, I am not saying, that I believe in these practices. What I am saying is that some of these tribal presuppositions from time to time resurface in me and especially in a subtle way that could be hard to detect.  </w:t>
      </w:r>
    </w:p>
    <w:p w14:paraId="37D62BDA" w14:textId="77777777" w:rsidR="00A70787" w:rsidRDefault="00A70787" w:rsidP="00626AE7">
      <w:pPr>
        <w:pStyle w:val="NormalWeb"/>
        <w:spacing w:before="0" w:beforeAutospacing="0" w:after="0" w:afterAutospacing="0" w:line="480" w:lineRule="auto"/>
        <w:ind w:firstLine="720"/>
        <w:rPr>
          <w:color w:val="0E101A"/>
        </w:rPr>
      </w:pPr>
      <w:r>
        <w:rPr>
          <w:color w:val="0E101A"/>
        </w:rPr>
        <w:lastRenderedPageBreak/>
        <w:t>Thus, as I was reading this book, I could not help but see how different Jim Peterson’s perspective from the African perspective is. Back in his mind is the “typical American individualistic worldview.” That individualism is well demonstrated in his principle of fairness enshrined in the Talker-Listener Card technique. I will recommend it for that. Fairness appears obtainable when each person is given an equal chance. However, in the African settings and especially here in the village where I am doing missions, things are different. I am curious to know what this book could have said if an African man wrote it.</w:t>
      </w:r>
    </w:p>
    <w:p w14:paraId="2E5D1427" w14:textId="77777777" w:rsidR="00A70787" w:rsidRDefault="00A70787" w:rsidP="00626AE7">
      <w:pPr>
        <w:pStyle w:val="Heading1"/>
        <w:spacing w:before="0"/>
        <w:rPr>
          <w:b w:val="0"/>
          <w:color w:val="0E101A"/>
        </w:rPr>
      </w:pPr>
      <w:bookmarkStart w:id="16" w:name="_Toc68468079"/>
      <w:r w:rsidRPr="00626AE7">
        <w:rPr>
          <w:color w:val="0E101A"/>
        </w:rPr>
        <w:t>ACT</w:t>
      </w:r>
      <w:bookmarkEnd w:id="16"/>
    </w:p>
    <w:p w14:paraId="43DADA5C" w14:textId="77777777" w:rsidR="00A70787" w:rsidRDefault="00A70787" w:rsidP="00626AE7">
      <w:pPr>
        <w:pStyle w:val="NormalWeb"/>
        <w:spacing w:before="0" w:beforeAutospacing="0" w:after="0" w:afterAutospacing="0" w:line="480" w:lineRule="auto"/>
        <w:rPr>
          <w:color w:val="0E101A"/>
        </w:rPr>
      </w:pPr>
      <w:r>
        <w:rPr>
          <w:rStyle w:val="Strong"/>
          <w:color w:val="0E101A"/>
        </w:rPr>
        <w:t>Becoming the Me I Want to Be</w:t>
      </w:r>
    </w:p>
    <w:p w14:paraId="3DF7CC1F" w14:textId="77777777" w:rsidR="00A70787" w:rsidRDefault="00A70787" w:rsidP="00626AE7">
      <w:pPr>
        <w:pStyle w:val="NormalWeb"/>
        <w:spacing w:before="0" w:beforeAutospacing="0" w:after="0" w:afterAutospacing="0" w:line="480" w:lineRule="auto"/>
        <w:ind w:firstLine="720"/>
        <w:rPr>
          <w:color w:val="0E101A"/>
        </w:rPr>
      </w:pPr>
      <w:r>
        <w:rPr>
          <w:color w:val="0E101A"/>
        </w:rPr>
        <w:t>First and foremost, I want to listen actively. Rather than being silent when someone is talking, I want to make it easier for the talker to know that I am following. By asking questions, acknowledging what they feel, and interrupting them as I seek clarification, I will provide a safe place for people to share their feelings.</w:t>
      </w:r>
    </w:p>
    <w:p w14:paraId="665E8CCA" w14:textId="77777777" w:rsidR="00A70787" w:rsidRDefault="00A70787" w:rsidP="00626AE7">
      <w:pPr>
        <w:pStyle w:val="NormalWeb"/>
        <w:spacing w:before="0" w:beforeAutospacing="0" w:after="0" w:afterAutospacing="0" w:line="480" w:lineRule="auto"/>
        <w:ind w:firstLine="720"/>
        <w:rPr>
          <w:color w:val="0E101A"/>
        </w:rPr>
      </w:pPr>
      <w:r>
        <w:rPr>
          <w:color w:val="0E101A"/>
        </w:rPr>
        <w:t>Second, from today I scratch off the mentality that I have answers for counselees problem. Henceforth I will trust that God already is working inside the counselee and all I need to do is help them figure out what God is doing in their hearts (Phil 1:6). In my counseling session with my cousin, I noticed that he came and threw at me the need to find an answer to his problems. I took the bait. But in the end, since the solution came from outside, he did not follow it. Next time, I would have to let him own his problems. I cannot wait to ask him, “What do you think God is telling you to do? Or what do you think you should do?”</w:t>
      </w:r>
    </w:p>
    <w:p w14:paraId="544BFED1" w14:textId="317FDB95" w:rsidR="00A70787" w:rsidRDefault="00A70787" w:rsidP="00626AE7">
      <w:pPr>
        <w:pStyle w:val="NormalWeb"/>
        <w:spacing w:before="0" w:beforeAutospacing="0" w:after="0" w:afterAutospacing="0" w:line="480" w:lineRule="auto"/>
        <w:ind w:firstLine="720"/>
        <w:rPr>
          <w:color w:val="0E101A"/>
        </w:rPr>
      </w:pPr>
      <w:r>
        <w:rPr>
          <w:color w:val="0E101A"/>
        </w:rPr>
        <w:t xml:space="preserve">Third, I want to learn how to rephrase my questions so that they do not end up getting a one-word response. Jim Peterson says, “The asking for one-word-answers communication trap </w:t>
      </w:r>
      <w:r>
        <w:rPr>
          <w:color w:val="0E101A"/>
        </w:rPr>
        <w:lastRenderedPageBreak/>
        <w:t>turns up unwanted shut-downs.”</w:t>
      </w:r>
      <w:r w:rsidR="00626AE7" w:rsidRPr="00626AE7">
        <w:rPr>
          <w:rStyle w:val="FootnoteReference"/>
        </w:rPr>
        <w:t xml:space="preserve"> </w:t>
      </w:r>
      <w:r w:rsidR="00626AE7">
        <w:rPr>
          <w:rStyle w:val="FootnoteReference"/>
        </w:rPr>
        <w:footnoteReference w:id="10"/>
      </w:r>
      <w:r>
        <w:rPr>
          <w:color w:val="0E101A"/>
        </w:rPr>
        <w:t> Also, sometimes it can result in arguments resulting from defensive behavior.</w:t>
      </w:r>
    </w:p>
    <w:p w14:paraId="027B852D" w14:textId="77777777" w:rsidR="00A70787" w:rsidRDefault="00A70787" w:rsidP="00626AE7">
      <w:pPr>
        <w:pStyle w:val="NormalWeb"/>
        <w:spacing w:before="0" w:beforeAutospacing="0" w:after="0" w:afterAutospacing="0" w:line="480" w:lineRule="auto"/>
        <w:ind w:firstLine="720"/>
        <w:rPr>
          <w:color w:val="0E101A"/>
        </w:rPr>
      </w:pPr>
      <w:r>
        <w:rPr>
          <w:color w:val="0E101A"/>
        </w:rPr>
        <w:t>Finally, I would consider my listening a success if only I could provide a safe place for people to share their problems. In saying this, I mean I want to listen as an act of love. I pray by God’s grace; I will decrease in judging and increase in showing compassion.</w:t>
      </w:r>
    </w:p>
    <w:p w14:paraId="351FA00A" w14:textId="6F4BD172" w:rsidR="00A70787" w:rsidRDefault="00A70787" w:rsidP="00626AE7"/>
    <w:p w14:paraId="4AAEEDF0" w14:textId="33EADCD7" w:rsidR="00EC1723" w:rsidRDefault="00EC1723" w:rsidP="00626AE7"/>
    <w:p w14:paraId="5426F6FA" w14:textId="65121E78" w:rsidR="00EC1723" w:rsidRDefault="00EC1723" w:rsidP="00626AE7"/>
    <w:p w14:paraId="0327C1F5" w14:textId="3FCEF569" w:rsidR="00EC1723" w:rsidRDefault="00EC1723" w:rsidP="00626AE7"/>
    <w:p w14:paraId="01A9A6B9" w14:textId="52BFE491" w:rsidR="00EC1723" w:rsidRDefault="00EC1723" w:rsidP="00626AE7"/>
    <w:p w14:paraId="26B06E23" w14:textId="356DE563" w:rsidR="00EC1723" w:rsidRDefault="00EC1723" w:rsidP="00626AE7"/>
    <w:p w14:paraId="5405D723" w14:textId="5A412577" w:rsidR="00EC1723" w:rsidRDefault="00EC1723" w:rsidP="00626AE7"/>
    <w:p w14:paraId="10473248" w14:textId="20E50D3A" w:rsidR="00EC1723" w:rsidRDefault="00EC1723" w:rsidP="00626AE7"/>
    <w:p w14:paraId="0E392A10" w14:textId="4D8C8132" w:rsidR="00EC1723" w:rsidRDefault="00EC1723" w:rsidP="00626AE7"/>
    <w:p w14:paraId="2245409E" w14:textId="4DF79C0C" w:rsidR="00EC1723" w:rsidRDefault="00EC1723" w:rsidP="00626AE7"/>
    <w:p w14:paraId="2F2A61B6" w14:textId="20F68892" w:rsidR="00EC1723" w:rsidRDefault="00EC1723" w:rsidP="00626AE7"/>
    <w:p w14:paraId="2CE214B8" w14:textId="3DF37BAC" w:rsidR="00EC1723" w:rsidRDefault="00EC1723" w:rsidP="00626AE7"/>
    <w:p w14:paraId="40DC4EA6" w14:textId="602DCE65" w:rsidR="00EC1723" w:rsidRDefault="00EC1723" w:rsidP="00626AE7"/>
    <w:p w14:paraId="5853E423" w14:textId="797037E7" w:rsidR="00EC1723" w:rsidRDefault="00EC1723" w:rsidP="00626AE7"/>
    <w:p w14:paraId="611D9B71" w14:textId="77777777" w:rsidR="00EC1723" w:rsidRPr="00A70787" w:rsidRDefault="00EC1723" w:rsidP="00626AE7"/>
    <w:p w14:paraId="3735B65F" w14:textId="40562CA8" w:rsidR="00BF7136" w:rsidRDefault="00FB6365" w:rsidP="00FB6365">
      <w:pPr>
        <w:pStyle w:val="Heading1"/>
      </w:pPr>
      <w:bookmarkStart w:id="17" w:name="_Toc68468080"/>
      <w:r>
        <w:lastRenderedPageBreak/>
        <w:t>Bibliography</w:t>
      </w:r>
      <w:bookmarkEnd w:id="17"/>
    </w:p>
    <w:p w14:paraId="44FC02DF" w14:textId="44589A9D" w:rsidR="00FB6365" w:rsidRDefault="00FB6365" w:rsidP="00FB6365">
      <w:pPr>
        <w:spacing w:line="240" w:lineRule="auto"/>
        <w:ind w:left="720" w:hanging="720"/>
      </w:pPr>
      <w:r w:rsidRPr="00FB6365">
        <w:t>Petersen, J.</w:t>
      </w:r>
      <w:r>
        <w:t xml:space="preserve"> </w:t>
      </w:r>
      <w:r w:rsidRPr="00FB6365">
        <w:rPr>
          <w:i/>
          <w:iCs/>
        </w:rPr>
        <w:t>Why Don't We Listen Better? Communicating &amp; Connecting in Relationships</w:t>
      </w:r>
      <w:r>
        <w:t>,</w:t>
      </w:r>
      <w:r w:rsidRPr="00FB6365">
        <w:t xml:space="preserve"> 2nd ed. Portland, OR: Petersen Publications</w:t>
      </w:r>
      <w:r>
        <w:t>, 2015.</w:t>
      </w:r>
    </w:p>
    <w:sectPr w:rsidR="00FB6365"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3F73B" w14:textId="77777777" w:rsidR="00F065E7" w:rsidRDefault="00F065E7" w:rsidP="00DF7AA0">
      <w:pPr>
        <w:spacing w:line="240" w:lineRule="auto"/>
      </w:pPr>
      <w:r>
        <w:separator/>
      </w:r>
    </w:p>
  </w:endnote>
  <w:endnote w:type="continuationSeparator" w:id="0">
    <w:p w14:paraId="2CD8AE48" w14:textId="77777777" w:rsidR="00F065E7" w:rsidRDefault="00F065E7"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B727129" w14:textId="77777777" w:rsidR="00A36B5C" w:rsidRDefault="00F065E7"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1764F" w14:textId="77777777" w:rsidR="00F065E7" w:rsidRDefault="00F065E7" w:rsidP="00DF7AA0">
      <w:pPr>
        <w:spacing w:line="240" w:lineRule="auto"/>
      </w:pPr>
      <w:r>
        <w:separator/>
      </w:r>
    </w:p>
  </w:footnote>
  <w:footnote w:type="continuationSeparator" w:id="0">
    <w:p w14:paraId="71AC12A4" w14:textId="77777777" w:rsidR="00F065E7" w:rsidRDefault="00F065E7" w:rsidP="00DF7AA0">
      <w:pPr>
        <w:spacing w:line="240" w:lineRule="auto"/>
      </w:pPr>
      <w:r>
        <w:continuationSeparator/>
      </w:r>
    </w:p>
  </w:footnote>
  <w:footnote w:id="1">
    <w:p w14:paraId="638DE476" w14:textId="77777777" w:rsidR="00626AE7" w:rsidRDefault="00626AE7" w:rsidP="00626AE7">
      <w:pPr>
        <w:spacing w:line="240" w:lineRule="auto"/>
        <w:ind w:firstLine="720"/>
      </w:pPr>
      <w:r>
        <w:rPr>
          <w:rStyle w:val="FootnoteReference"/>
        </w:rPr>
        <w:footnoteRef/>
      </w:r>
      <w:r>
        <w:t xml:space="preserve"> Jim </w:t>
      </w:r>
      <w:r w:rsidRPr="00FB6365">
        <w:t>Petersen,</w:t>
      </w:r>
      <w:r>
        <w:t xml:space="preserve"> </w:t>
      </w:r>
      <w:r w:rsidRPr="00FB6365">
        <w:rPr>
          <w:i/>
          <w:iCs/>
        </w:rPr>
        <w:t>Why Don't We Listen Better? Communicating &amp; Connecting in Relationships</w:t>
      </w:r>
      <w:r>
        <w:t>,</w:t>
      </w:r>
      <w:r w:rsidRPr="00FB6365">
        <w:t xml:space="preserve"> 2nd ed</w:t>
      </w:r>
      <w:r>
        <w:t>.</w:t>
      </w:r>
      <w:r w:rsidRPr="00FB6365">
        <w:t xml:space="preserve"> </w:t>
      </w:r>
      <w:r>
        <w:t>(</w:t>
      </w:r>
      <w:r w:rsidRPr="00FB6365">
        <w:t>Portland, OR: Petersen Publications</w:t>
      </w:r>
      <w:r>
        <w:t>, 2015), 10.</w:t>
      </w:r>
    </w:p>
    <w:p w14:paraId="5582664C" w14:textId="77777777" w:rsidR="00626AE7" w:rsidRDefault="00626AE7" w:rsidP="00626AE7">
      <w:pPr>
        <w:pStyle w:val="FootnoteText"/>
      </w:pPr>
    </w:p>
  </w:footnote>
  <w:footnote w:id="2">
    <w:p w14:paraId="4E27257B" w14:textId="77777777" w:rsidR="00626AE7" w:rsidRDefault="00626AE7" w:rsidP="00626AE7">
      <w:pPr>
        <w:pStyle w:val="FootnoteText"/>
      </w:pPr>
      <w:r>
        <w:rPr>
          <w:rStyle w:val="FootnoteReference"/>
        </w:rPr>
        <w:footnoteRef/>
      </w:r>
      <w:r>
        <w:t xml:space="preserve"> Ibid.., 26.</w:t>
      </w:r>
    </w:p>
  </w:footnote>
  <w:footnote w:id="3">
    <w:p w14:paraId="113D5BE7" w14:textId="77777777" w:rsidR="00626AE7" w:rsidRDefault="00626AE7" w:rsidP="00626AE7">
      <w:pPr>
        <w:pStyle w:val="FootnoteText"/>
      </w:pPr>
      <w:r>
        <w:rPr>
          <w:rStyle w:val="FootnoteReference"/>
        </w:rPr>
        <w:footnoteRef/>
      </w:r>
      <w:r>
        <w:rPr>
          <w:rStyle w:val="FootnoteReference"/>
        </w:rPr>
        <w:footnoteRef/>
      </w:r>
      <w:r>
        <w:t xml:space="preserve"> Ibid., 20.</w:t>
      </w:r>
    </w:p>
  </w:footnote>
  <w:footnote w:id="4">
    <w:p w14:paraId="78626C94" w14:textId="77777777" w:rsidR="00626AE7" w:rsidRDefault="00626AE7" w:rsidP="00626AE7">
      <w:pPr>
        <w:pStyle w:val="FootnoteText"/>
      </w:pPr>
      <w:r>
        <w:rPr>
          <w:rStyle w:val="FootnoteReference"/>
        </w:rPr>
        <w:footnoteRef/>
      </w:r>
      <w:r>
        <w:t xml:space="preserve"> Ibid., 20.</w:t>
      </w:r>
    </w:p>
  </w:footnote>
  <w:footnote w:id="5">
    <w:p w14:paraId="02D3D8CE" w14:textId="77777777" w:rsidR="00626AE7" w:rsidRDefault="00626AE7" w:rsidP="00626AE7">
      <w:pPr>
        <w:pStyle w:val="FootnoteText"/>
      </w:pPr>
      <w:r>
        <w:rPr>
          <w:rStyle w:val="FootnoteReference"/>
        </w:rPr>
        <w:footnoteRef/>
      </w:r>
      <w:r>
        <w:t xml:space="preserve"> Ibid., 117.</w:t>
      </w:r>
    </w:p>
  </w:footnote>
  <w:footnote w:id="6">
    <w:p w14:paraId="100A935C" w14:textId="77777777" w:rsidR="00626AE7" w:rsidRDefault="00626AE7" w:rsidP="00626AE7">
      <w:pPr>
        <w:pStyle w:val="FootnoteText"/>
      </w:pPr>
      <w:r>
        <w:rPr>
          <w:rStyle w:val="FootnoteReference"/>
        </w:rPr>
        <w:footnoteRef/>
      </w:r>
      <w:r>
        <w:t xml:space="preserve"> Ibid., 145.</w:t>
      </w:r>
    </w:p>
  </w:footnote>
  <w:footnote w:id="7">
    <w:p w14:paraId="1C669FC9" w14:textId="77777777" w:rsidR="00626AE7" w:rsidRDefault="00626AE7" w:rsidP="00626AE7">
      <w:pPr>
        <w:pStyle w:val="FootnoteText"/>
      </w:pPr>
      <w:r>
        <w:rPr>
          <w:rStyle w:val="FootnoteReference"/>
        </w:rPr>
        <w:footnoteRef/>
      </w:r>
      <w:r>
        <w:t xml:space="preserve"> Ibid., 44-45</w:t>
      </w:r>
    </w:p>
  </w:footnote>
  <w:footnote w:id="8">
    <w:p w14:paraId="44B06662" w14:textId="77777777" w:rsidR="00626AE7" w:rsidRDefault="00626AE7" w:rsidP="00626AE7">
      <w:pPr>
        <w:pStyle w:val="FootnoteText"/>
      </w:pPr>
      <w:r>
        <w:rPr>
          <w:rStyle w:val="FootnoteReference"/>
        </w:rPr>
        <w:footnoteRef/>
      </w:r>
      <w:r>
        <w:t xml:space="preserve"> Ibid., 158.</w:t>
      </w:r>
    </w:p>
  </w:footnote>
  <w:footnote w:id="9">
    <w:p w14:paraId="217AE41F" w14:textId="77777777" w:rsidR="00626AE7" w:rsidRDefault="00626AE7" w:rsidP="00626AE7">
      <w:pPr>
        <w:pStyle w:val="FootnoteText"/>
      </w:pPr>
      <w:r>
        <w:rPr>
          <w:rStyle w:val="FootnoteReference"/>
        </w:rPr>
        <w:footnoteRef/>
      </w:r>
      <w:r>
        <w:t xml:space="preserve"> </w:t>
      </w:r>
      <w:r w:rsidRPr="00DD4174">
        <w:rPr>
          <w:rFonts w:cs="Times New Roman"/>
        </w:rPr>
        <w:t xml:space="preserve">Unless otherwise noted, all biblical passages referenced are in the </w:t>
      </w:r>
      <w:r w:rsidRPr="00DD4174">
        <w:rPr>
          <w:rFonts w:cs="Times New Roman"/>
          <w:i/>
          <w:iCs/>
        </w:rPr>
        <w:t>New International Version</w:t>
      </w:r>
      <w:r w:rsidRPr="00DD4174">
        <w:rPr>
          <w:rFonts w:cs="Times New Roman"/>
        </w:rPr>
        <w:t xml:space="preserve"> (Grand Rapids, MI: Zondervan, 2011).</w:t>
      </w:r>
    </w:p>
  </w:footnote>
  <w:footnote w:id="10">
    <w:p w14:paraId="5EE953FB" w14:textId="77777777" w:rsidR="00626AE7" w:rsidRDefault="00626AE7" w:rsidP="00626AE7">
      <w:pPr>
        <w:pStyle w:val="FootnoteText"/>
      </w:pPr>
      <w:r>
        <w:rPr>
          <w:rStyle w:val="FootnoteReference"/>
        </w:rPr>
        <w:footnoteRef/>
      </w:r>
      <w:r>
        <w:t xml:space="preserve"> Ibid.,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1517D4"/>
    <w:rsid w:val="001918B7"/>
    <w:rsid w:val="002A6EBA"/>
    <w:rsid w:val="002B7C8F"/>
    <w:rsid w:val="002F1A0E"/>
    <w:rsid w:val="0030455F"/>
    <w:rsid w:val="005449C8"/>
    <w:rsid w:val="00582358"/>
    <w:rsid w:val="005E7F5F"/>
    <w:rsid w:val="00626AE7"/>
    <w:rsid w:val="00684DC2"/>
    <w:rsid w:val="00686170"/>
    <w:rsid w:val="00690AD8"/>
    <w:rsid w:val="007E71EC"/>
    <w:rsid w:val="00805553"/>
    <w:rsid w:val="00823597"/>
    <w:rsid w:val="00890311"/>
    <w:rsid w:val="008D15F2"/>
    <w:rsid w:val="00934FC4"/>
    <w:rsid w:val="009C136E"/>
    <w:rsid w:val="009E46B4"/>
    <w:rsid w:val="00A07CBC"/>
    <w:rsid w:val="00A36B5C"/>
    <w:rsid w:val="00A43B4D"/>
    <w:rsid w:val="00A70787"/>
    <w:rsid w:val="00A70889"/>
    <w:rsid w:val="00AE1E2E"/>
    <w:rsid w:val="00AF315F"/>
    <w:rsid w:val="00AF3CDD"/>
    <w:rsid w:val="00B334E6"/>
    <w:rsid w:val="00B34C91"/>
    <w:rsid w:val="00BB06A1"/>
    <w:rsid w:val="00BF7136"/>
    <w:rsid w:val="00C6173E"/>
    <w:rsid w:val="00C75AB6"/>
    <w:rsid w:val="00C97BB9"/>
    <w:rsid w:val="00CE489C"/>
    <w:rsid w:val="00D072C2"/>
    <w:rsid w:val="00DB45AF"/>
    <w:rsid w:val="00DF7AA0"/>
    <w:rsid w:val="00EC1723"/>
    <w:rsid w:val="00F065E7"/>
    <w:rsid w:val="00F228DC"/>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F7AA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A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9</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2021-04-03T06:46:00Z</dcterms:created>
  <dcterms:modified xsi:type="dcterms:W3CDTF">2021-04-04T19:35:00Z</dcterms:modified>
</cp:coreProperties>
</file>