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6F682" w14:textId="77777777" w:rsidR="00014D23" w:rsidRDefault="00014D23" w:rsidP="00014D23">
      <w:pPr>
        <w:pStyle w:val="NormalWeb"/>
        <w:spacing w:before="0" w:beforeAutospacing="0" w:after="0" w:afterAutospacing="0"/>
        <w:rPr>
          <w:color w:val="0E101A"/>
        </w:rPr>
      </w:pPr>
      <w:r>
        <w:rPr>
          <w:color w:val="0E101A"/>
        </w:rPr>
        <w:t>Kevin,</w:t>
      </w:r>
    </w:p>
    <w:p w14:paraId="203B9E63" w14:textId="3197BAE6" w:rsidR="00014D23" w:rsidRDefault="00014D23" w:rsidP="00014D23">
      <w:pPr>
        <w:pStyle w:val="NormalWeb"/>
        <w:spacing w:before="0" w:beforeAutospacing="0" w:after="0" w:afterAutospacing="0"/>
        <w:rPr>
          <w:color w:val="0E101A"/>
        </w:rPr>
      </w:pPr>
      <w:r>
        <w:rPr>
          <w:color w:val="0E101A"/>
        </w:rPr>
        <w:t>I enjoyed reading the neat of your post. I fully concur with you that as much as we insist on the need to be theologically informed, we should also be aware of the dangers in theological study. In the past, I have learned that it is so easy to know about God yet fail to know him in a personal way. Instead of depending on him, we depend on the information we have gathered over the years. We let pride take the wheel and eventually fail on the love test. I suppose Paul experienced the same. No wonder he tells the Corinthian church, “knowledge puffs up while love builds up” (I Cor 8:1, NIV).</w:t>
      </w:r>
      <w:r>
        <w:rPr>
          <w:rStyle w:val="FootnoteReference"/>
          <w:rFonts w:ascii="Segoe UI" w:hAnsi="Segoe UI" w:cs="Segoe UI"/>
          <w:color w:val="000000"/>
          <w:shd w:val="clear" w:color="auto" w:fill="FFFFFF"/>
        </w:rPr>
        <w:footnoteReference w:id="1"/>
      </w:r>
      <w:r>
        <w:rPr>
          <w:color w:val="0E101A"/>
        </w:rPr>
        <w:t> Love must be the engine that drives our study. Distinguished scholar Todd Wilson avers, “Undoubtedly, from the very beginning and without intermission, theological work is also study; in every respect, it is also service; and finally, it would certainly be in vain were it not also an act of love</w:t>
      </w:r>
      <w:r>
        <w:rPr>
          <w:color w:val="0E101A"/>
        </w:rPr>
        <w:t>.</w:t>
      </w:r>
      <w:r>
        <w:rPr>
          <w:color w:val="0E101A"/>
        </w:rPr>
        <w:t>”</w:t>
      </w:r>
      <w:r>
        <w:rPr>
          <w:rStyle w:val="FootnoteReference"/>
          <w:rFonts w:ascii="Segoe UI" w:hAnsi="Segoe UI" w:cs="Segoe UI"/>
          <w:color w:val="000000"/>
          <w:shd w:val="clear" w:color="auto" w:fill="FFFFFF"/>
        </w:rPr>
        <w:footnoteReference w:id="2"/>
      </w:r>
      <w:r>
        <w:rPr>
          <w:color w:val="0E101A"/>
        </w:rPr>
        <w:t> That said, I do not think we have to restrict ourselves to an either-or situation. We can have both; be theologically informed and also fully trusting and depending on God and loving one another. </w:t>
      </w:r>
    </w:p>
    <w:p w14:paraId="7D056ACC" w14:textId="77777777" w:rsidR="00014D23" w:rsidRDefault="00014D23"/>
    <w:p w14:paraId="30998D1F" w14:textId="77777777" w:rsidR="00014D23" w:rsidRDefault="00014D23"/>
    <w:p w14:paraId="7372DFA7" w14:textId="24E9EA40" w:rsidR="00725DAA" w:rsidRDefault="001603D4">
      <w:pPr>
        <w:rPr>
          <w:rFonts w:ascii="Segoe UI" w:hAnsi="Segoe UI" w:cs="Segoe UI"/>
          <w:color w:val="000000"/>
          <w:shd w:val="clear" w:color="auto" w:fill="FFFFFF"/>
        </w:rPr>
      </w:pPr>
      <w:r>
        <w:rPr>
          <w:rFonts w:ascii="Segoe UI" w:hAnsi="Segoe UI" w:cs="Segoe UI"/>
          <w:color w:val="000000"/>
          <w:shd w:val="clear" w:color="auto" w:fill="FFFFFF"/>
        </w:rPr>
        <w:t xml:space="preserve"> </w:t>
      </w:r>
    </w:p>
    <w:sectPr w:rsidR="00725D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0FC26" w14:textId="77777777" w:rsidR="00FF6B87" w:rsidRDefault="00FF6B87" w:rsidP="00B4380F">
      <w:pPr>
        <w:spacing w:after="0" w:line="240" w:lineRule="auto"/>
      </w:pPr>
      <w:r>
        <w:separator/>
      </w:r>
    </w:p>
  </w:endnote>
  <w:endnote w:type="continuationSeparator" w:id="0">
    <w:p w14:paraId="567B80FF" w14:textId="77777777" w:rsidR="00FF6B87" w:rsidRDefault="00FF6B87" w:rsidP="00B43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DF67F" w14:textId="77777777" w:rsidR="00FF6B87" w:rsidRDefault="00FF6B87" w:rsidP="00B4380F">
      <w:pPr>
        <w:spacing w:after="0" w:line="240" w:lineRule="auto"/>
      </w:pPr>
      <w:r>
        <w:separator/>
      </w:r>
    </w:p>
  </w:footnote>
  <w:footnote w:type="continuationSeparator" w:id="0">
    <w:p w14:paraId="5F130C74" w14:textId="77777777" w:rsidR="00FF6B87" w:rsidRDefault="00FF6B87" w:rsidP="00B4380F">
      <w:pPr>
        <w:spacing w:after="0" w:line="240" w:lineRule="auto"/>
      </w:pPr>
      <w:r>
        <w:continuationSeparator/>
      </w:r>
    </w:p>
  </w:footnote>
  <w:footnote w:id="1">
    <w:p w14:paraId="65A11C7A" w14:textId="77777777" w:rsidR="00014D23" w:rsidRPr="001166E8" w:rsidRDefault="00014D23" w:rsidP="00014D23">
      <w:pPr>
        <w:pStyle w:val="FootnoteText"/>
        <w:spacing w:before="240"/>
        <w:ind w:firstLine="720"/>
        <w:rPr>
          <w:rFonts w:ascii="Times New Roman" w:hAnsi="Times New Roman" w:cs="Times New Roman"/>
        </w:rPr>
      </w:pPr>
      <w:r>
        <w:rPr>
          <w:rStyle w:val="FootnoteReference"/>
        </w:rPr>
        <w:footnoteRef/>
      </w:r>
      <w:r>
        <w:t xml:space="preserve"> </w:t>
      </w:r>
      <w:r w:rsidRPr="001166E8">
        <w:rPr>
          <w:rFonts w:ascii="Times New Roman" w:hAnsi="Times New Roman" w:cs="Times New Roman"/>
        </w:rPr>
        <w:t xml:space="preserve">Unless otherwise noted, all biblical passages referenced are in the </w:t>
      </w:r>
      <w:r w:rsidRPr="001166E8">
        <w:rPr>
          <w:rFonts w:ascii="Times New Roman" w:hAnsi="Times New Roman" w:cs="Times New Roman"/>
          <w:i/>
          <w:iCs/>
        </w:rPr>
        <w:t>New International Version</w:t>
      </w:r>
      <w:r w:rsidRPr="001166E8">
        <w:rPr>
          <w:rFonts w:ascii="Times New Roman" w:hAnsi="Times New Roman" w:cs="Times New Roman"/>
        </w:rPr>
        <w:t xml:space="preserve"> (Grand Rapids, MI: Zondervan, 2011).</w:t>
      </w:r>
    </w:p>
    <w:p w14:paraId="70CE55B9" w14:textId="77777777" w:rsidR="00014D23" w:rsidRPr="001166E8" w:rsidRDefault="00014D23" w:rsidP="00014D23">
      <w:pPr>
        <w:pStyle w:val="FootnoteText"/>
        <w:ind w:firstLine="720"/>
        <w:rPr>
          <w:rFonts w:ascii="Times New Roman" w:hAnsi="Times New Roman" w:cs="Times New Roman"/>
        </w:rPr>
      </w:pPr>
    </w:p>
  </w:footnote>
  <w:footnote w:id="2">
    <w:p w14:paraId="34DAEF03" w14:textId="77777777" w:rsidR="00014D23" w:rsidRPr="001166E8" w:rsidRDefault="00014D23" w:rsidP="00014D23">
      <w:pPr>
        <w:pStyle w:val="FootnoteText"/>
        <w:ind w:firstLine="720"/>
        <w:rPr>
          <w:rFonts w:ascii="Times New Roman" w:hAnsi="Times New Roman" w:cs="Times New Roman"/>
        </w:rPr>
      </w:pPr>
      <w:r w:rsidRPr="001166E8">
        <w:rPr>
          <w:rStyle w:val="FootnoteReference"/>
          <w:rFonts w:ascii="Times New Roman" w:hAnsi="Times New Roman" w:cs="Times New Roman"/>
        </w:rPr>
        <w:footnoteRef/>
      </w:r>
      <w:r w:rsidRPr="001166E8">
        <w:rPr>
          <w:rFonts w:ascii="Times New Roman" w:hAnsi="Times New Roman" w:cs="Times New Roman"/>
        </w:rPr>
        <w:t xml:space="preserve"> </w:t>
      </w:r>
      <w:r w:rsidRPr="001166E8">
        <w:rPr>
          <w:rStyle w:val="Emphasis"/>
          <w:rFonts w:ascii="Times New Roman" w:hAnsi="Times New Roman" w:cs="Times New Roman"/>
          <w:color w:val="212529"/>
          <w:shd w:val="clear" w:color="auto" w:fill="FFFFFF"/>
        </w:rPr>
        <w:t>Becoming A Pastor Theologian: New Possibilities for Church Leadership</w:t>
      </w:r>
      <w:r w:rsidRPr="001166E8">
        <w:rPr>
          <w:rFonts w:ascii="Times New Roman" w:hAnsi="Times New Roman" w:cs="Times New Roman"/>
          <w:color w:val="212529"/>
          <w:shd w:val="clear" w:color="auto" w:fill="FFFFFF"/>
        </w:rPr>
        <w:t xml:space="preserve">. Edited by Todd Wilson and Gerald Hiestand. (Illinois: IVP Academic, 2016), </w:t>
      </w:r>
      <w:r w:rsidRPr="001166E8">
        <w:rPr>
          <w:rFonts w:ascii="Times New Roman" w:hAnsi="Times New Roman" w:cs="Times New Roman"/>
        </w:rPr>
        <w:t>76.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0F"/>
    <w:rsid w:val="00014D23"/>
    <w:rsid w:val="001166E8"/>
    <w:rsid w:val="001603D4"/>
    <w:rsid w:val="00725DAA"/>
    <w:rsid w:val="008B7EFD"/>
    <w:rsid w:val="00B4380F"/>
    <w:rsid w:val="00EB22D6"/>
    <w:rsid w:val="00EF71AB"/>
    <w:rsid w:val="00FF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16DA"/>
  <w15:chartTrackingRefBased/>
  <w15:docId w15:val="{50631A08-661D-43C4-A6E9-8EA9D078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438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380F"/>
    <w:rPr>
      <w:sz w:val="20"/>
      <w:szCs w:val="20"/>
    </w:rPr>
  </w:style>
  <w:style w:type="character" w:styleId="FootnoteReference">
    <w:name w:val="footnote reference"/>
    <w:basedOn w:val="DefaultParagraphFont"/>
    <w:uiPriority w:val="99"/>
    <w:semiHidden/>
    <w:unhideWhenUsed/>
    <w:rsid w:val="00B4380F"/>
    <w:rPr>
      <w:vertAlign w:val="superscript"/>
    </w:rPr>
  </w:style>
  <w:style w:type="character" w:styleId="Emphasis">
    <w:name w:val="Emphasis"/>
    <w:basedOn w:val="DefaultParagraphFont"/>
    <w:uiPriority w:val="20"/>
    <w:qFormat/>
    <w:rsid w:val="00725DAA"/>
    <w:rPr>
      <w:i/>
      <w:iCs/>
    </w:rPr>
  </w:style>
  <w:style w:type="paragraph" w:styleId="NormalWeb">
    <w:name w:val="Normal (Web)"/>
    <w:basedOn w:val="Normal"/>
    <w:uiPriority w:val="99"/>
    <w:semiHidden/>
    <w:unhideWhenUsed/>
    <w:rsid w:val="00014D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4D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16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7DF68FA-CA2C-41EA-9A9C-DAA5C2855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2021-10-31T13:40:00Z</dcterms:created>
  <dcterms:modified xsi:type="dcterms:W3CDTF">2021-10-31T18:39:00Z</dcterms:modified>
</cp:coreProperties>
</file>