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FF8A5" w14:textId="2E96F0BE" w:rsidR="00B0569A" w:rsidRPr="00915843" w:rsidRDefault="00037D2E">
      <w:pPr>
        <w:rPr>
          <w:rFonts w:ascii="Times New Roman" w:hAnsi="Times New Roman" w:cs="Times New Roman"/>
          <w:sz w:val="24"/>
          <w:szCs w:val="24"/>
        </w:rPr>
      </w:pPr>
      <w:r w:rsidRPr="00915843">
        <w:rPr>
          <w:rFonts w:ascii="Times New Roman" w:hAnsi="Times New Roman" w:cs="Times New Roman"/>
          <w:sz w:val="24"/>
          <w:szCs w:val="24"/>
        </w:rPr>
        <w:t xml:space="preserve">Hello Daniel, </w:t>
      </w:r>
    </w:p>
    <w:p w14:paraId="1937E9D1" w14:textId="77777777" w:rsidR="00DA0CA8" w:rsidRPr="00915843" w:rsidRDefault="00037D2E">
      <w:pPr>
        <w:rPr>
          <w:rFonts w:ascii="Times New Roman" w:hAnsi="Times New Roman" w:cs="Times New Roman"/>
          <w:sz w:val="24"/>
          <w:szCs w:val="24"/>
        </w:rPr>
      </w:pPr>
      <w:r w:rsidRPr="00915843">
        <w:rPr>
          <w:rFonts w:ascii="Times New Roman" w:hAnsi="Times New Roman" w:cs="Times New Roman"/>
          <w:sz w:val="24"/>
          <w:szCs w:val="24"/>
        </w:rPr>
        <w:t xml:space="preserve">Thank you for </w:t>
      </w:r>
      <w:r w:rsidR="0079247B" w:rsidRPr="00915843">
        <w:rPr>
          <w:rFonts w:ascii="Times New Roman" w:hAnsi="Times New Roman" w:cs="Times New Roman"/>
          <w:sz w:val="24"/>
          <w:szCs w:val="24"/>
        </w:rPr>
        <w:t>your thorough discussion</w:t>
      </w:r>
      <w:r w:rsidRPr="00915843">
        <w:rPr>
          <w:rFonts w:ascii="Times New Roman" w:hAnsi="Times New Roman" w:cs="Times New Roman"/>
          <w:sz w:val="24"/>
          <w:szCs w:val="24"/>
        </w:rPr>
        <w:t xml:space="preserve"> on the subject of biblical inerrancy. I found your arguments plausible and your scripture references fitting</w:t>
      </w:r>
      <w:r w:rsidR="0079247B" w:rsidRPr="00915843">
        <w:rPr>
          <w:rFonts w:ascii="Times New Roman" w:hAnsi="Times New Roman" w:cs="Times New Roman"/>
          <w:sz w:val="24"/>
          <w:szCs w:val="24"/>
        </w:rPr>
        <w:t>. One of the threats to biblical inerrancy is the obvious discrepancies that the Bible has. Like you mentioned some of these are historical and others scientific. Frank Turek notes that there are more than 800 supposed discrepancies in the Bible.</w:t>
      </w:r>
      <w:r w:rsidR="0079247B" w:rsidRPr="00915843">
        <w:rPr>
          <w:rStyle w:val="FootnoteReference"/>
          <w:rFonts w:ascii="Times New Roman" w:hAnsi="Times New Roman" w:cs="Times New Roman"/>
          <w:sz w:val="24"/>
          <w:szCs w:val="24"/>
        </w:rPr>
        <w:footnoteReference w:id="1"/>
      </w:r>
      <w:r w:rsidR="0079247B" w:rsidRPr="00915843">
        <w:rPr>
          <w:rFonts w:ascii="Times New Roman" w:hAnsi="Times New Roman" w:cs="Times New Roman"/>
          <w:sz w:val="24"/>
          <w:szCs w:val="24"/>
        </w:rPr>
        <w:t xml:space="preserve"> As surmountable as these discrepancies may look, most of them can be explained away. Erickson notes that advocates of the harmonistic approach assert that </w:t>
      </w:r>
      <w:r w:rsidR="0079247B" w:rsidRPr="00915843">
        <w:rPr>
          <w:rFonts w:ascii="Times New Roman" w:hAnsi="Times New Roman" w:cs="Times New Roman"/>
          <w:sz w:val="24"/>
          <w:szCs w:val="24"/>
        </w:rPr>
        <w:t>the difficulties presented by various phenomena can be resolved, and they attempt to do so using currently available information.</w:t>
      </w:r>
      <w:r w:rsidR="0079247B" w:rsidRPr="00915843">
        <w:rPr>
          <w:rStyle w:val="FootnoteReference"/>
          <w:rFonts w:ascii="Times New Roman" w:hAnsi="Times New Roman" w:cs="Times New Roman"/>
          <w:sz w:val="24"/>
          <w:szCs w:val="24"/>
        </w:rPr>
        <w:footnoteReference w:id="2"/>
      </w:r>
    </w:p>
    <w:p w14:paraId="6F9E6304" w14:textId="4451AE87" w:rsidR="00037D2E" w:rsidRPr="00915843" w:rsidRDefault="00DA0CA8">
      <w:pPr>
        <w:rPr>
          <w:rFonts w:ascii="Times New Roman" w:hAnsi="Times New Roman" w:cs="Times New Roman"/>
          <w:sz w:val="24"/>
          <w:szCs w:val="24"/>
        </w:rPr>
      </w:pPr>
      <w:r w:rsidRPr="00915843">
        <w:rPr>
          <w:rFonts w:ascii="Times New Roman" w:hAnsi="Times New Roman" w:cs="Times New Roman"/>
          <w:sz w:val="24"/>
          <w:szCs w:val="24"/>
        </w:rPr>
        <w:t xml:space="preserve">Another way to look at the problem of discrepancies is by examining how we define inerrancy. Erickson </w:t>
      </w:r>
      <w:r w:rsidR="00894705" w:rsidRPr="00915843">
        <w:rPr>
          <w:rFonts w:ascii="Times New Roman" w:hAnsi="Times New Roman" w:cs="Times New Roman"/>
          <w:sz w:val="24"/>
          <w:szCs w:val="24"/>
        </w:rPr>
        <w:t xml:space="preserve">offers five compelling arguments on how we </w:t>
      </w:r>
      <w:r w:rsidR="00915843" w:rsidRPr="00915843">
        <w:rPr>
          <w:rFonts w:ascii="Times New Roman" w:hAnsi="Times New Roman" w:cs="Times New Roman"/>
          <w:sz w:val="24"/>
          <w:szCs w:val="24"/>
        </w:rPr>
        <w:t>can properly define the inerrancy of t</w:t>
      </w:r>
      <w:r w:rsidR="00894705" w:rsidRPr="00915843">
        <w:rPr>
          <w:rFonts w:ascii="Times New Roman" w:hAnsi="Times New Roman" w:cs="Times New Roman"/>
          <w:sz w:val="24"/>
          <w:szCs w:val="24"/>
        </w:rPr>
        <w:t xml:space="preserve">he Bible. One of the arguments that he posits is that </w:t>
      </w:r>
      <w:r w:rsidRPr="00915843">
        <w:rPr>
          <w:rFonts w:ascii="Times New Roman" w:hAnsi="Times New Roman" w:cs="Times New Roman"/>
          <w:sz w:val="24"/>
          <w:szCs w:val="24"/>
        </w:rPr>
        <w:t>we have to see inerrancy as p</w:t>
      </w:r>
      <w:r w:rsidRPr="00915843">
        <w:rPr>
          <w:rFonts w:ascii="Times New Roman" w:hAnsi="Times New Roman" w:cs="Times New Roman"/>
          <w:sz w:val="24"/>
          <w:szCs w:val="24"/>
        </w:rPr>
        <w:t>ertain</w:t>
      </w:r>
      <w:r w:rsidRPr="00915843">
        <w:rPr>
          <w:rFonts w:ascii="Times New Roman" w:hAnsi="Times New Roman" w:cs="Times New Roman"/>
          <w:sz w:val="24"/>
          <w:szCs w:val="24"/>
        </w:rPr>
        <w:t>ing</w:t>
      </w:r>
      <w:r w:rsidRPr="00915843">
        <w:rPr>
          <w:rFonts w:ascii="Times New Roman" w:hAnsi="Times New Roman" w:cs="Times New Roman"/>
          <w:sz w:val="24"/>
          <w:szCs w:val="24"/>
        </w:rPr>
        <w:t xml:space="preserve"> to what is affirmed or asserted rather than what is merely reported</w:t>
      </w:r>
      <w:r w:rsidRPr="00915843">
        <w:rPr>
          <w:rFonts w:ascii="Times New Roman" w:hAnsi="Times New Roman" w:cs="Times New Roman"/>
          <w:sz w:val="24"/>
          <w:szCs w:val="24"/>
        </w:rPr>
        <w:t>.”</w:t>
      </w:r>
      <w:r w:rsidRPr="00915843">
        <w:rPr>
          <w:rStyle w:val="FootnoteReference"/>
          <w:rFonts w:ascii="Times New Roman" w:hAnsi="Times New Roman" w:cs="Times New Roman"/>
          <w:sz w:val="24"/>
          <w:szCs w:val="24"/>
        </w:rPr>
        <w:footnoteReference w:id="3"/>
      </w:r>
      <w:r w:rsidRPr="00915843">
        <w:rPr>
          <w:rFonts w:ascii="Times New Roman" w:hAnsi="Times New Roman" w:cs="Times New Roman"/>
          <w:sz w:val="24"/>
          <w:szCs w:val="24"/>
        </w:rPr>
        <w:t xml:space="preserve"> </w:t>
      </w:r>
      <w:r w:rsidR="00915843" w:rsidRPr="00915843">
        <w:rPr>
          <w:rFonts w:ascii="Times New Roman" w:hAnsi="Times New Roman" w:cs="Times New Roman"/>
          <w:sz w:val="24"/>
          <w:szCs w:val="24"/>
        </w:rPr>
        <w:t>In other words, what the Bible reports could be true, but it is not necessarily the truth. In the Bi</w:t>
      </w:r>
      <w:r w:rsidR="00C50FD7">
        <w:rPr>
          <w:rFonts w:ascii="Times New Roman" w:hAnsi="Times New Roman" w:cs="Times New Roman"/>
          <w:sz w:val="24"/>
          <w:szCs w:val="24"/>
        </w:rPr>
        <w:t>b</w:t>
      </w:r>
      <w:r w:rsidR="00915843" w:rsidRPr="00915843">
        <w:rPr>
          <w:rFonts w:ascii="Times New Roman" w:hAnsi="Times New Roman" w:cs="Times New Roman"/>
          <w:sz w:val="24"/>
          <w:szCs w:val="24"/>
        </w:rPr>
        <w:t>le one can find misleading advice or false statements but that does not mean the Bible is not true.</w:t>
      </w:r>
      <w:r w:rsidR="00894705" w:rsidRPr="00915843">
        <w:rPr>
          <w:rFonts w:ascii="Times New Roman" w:hAnsi="Times New Roman" w:cs="Times New Roman"/>
          <w:sz w:val="24"/>
          <w:szCs w:val="24"/>
        </w:rPr>
        <w:t xml:space="preserve"> </w:t>
      </w:r>
      <w:r w:rsidRPr="00915843">
        <w:rPr>
          <w:rFonts w:ascii="Times New Roman" w:hAnsi="Times New Roman" w:cs="Times New Roman"/>
          <w:sz w:val="24"/>
          <w:szCs w:val="24"/>
        </w:rPr>
        <w:t xml:space="preserve">Secondly, Erickson posits that “We must </w:t>
      </w:r>
      <w:r w:rsidRPr="00915843">
        <w:rPr>
          <w:rFonts w:ascii="Times New Roman" w:hAnsi="Times New Roman" w:cs="Times New Roman"/>
          <w:sz w:val="24"/>
          <w:szCs w:val="24"/>
        </w:rPr>
        <w:t>judge the truthfulness of Scripture in terms of its meaning in the cultural setting in which its statements were expressed</w:t>
      </w:r>
      <w:r w:rsidRPr="00915843">
        <w:rPr>
          <w:rFonts w:ascii="Times New Roman" w:hAnsi="Times New Roman" w:cs="Times New Roman"/>
          <w:sz w:val="24"/>
          <w:szCs w:val="24"/>
        </w:rPr>
        <w:t>.”</w:t>
      </w:r>
      <w:r w:rsidRPr="00915843">
        <w:rPr>
          <w:rStyle w:val="FootnoteReference"/>
          <w:rFonts w:ascii="Times New Roman" w:hAnsi="Times New Roman" w:cs="Times New Roman"/>
          <w:sz w:val="24"/>
          <w:szCs w:val="24"/>
        </w:rPr>
        <w:footnoteReference w:id="4"/>
      </w:r>
      <w:r w:rsidRPr="00915843">
        <w:rPr>
          <w:rFonts w:ascii="Times New Roman" w:hAnsi="Times New Roman" w:cs="Times New Roman"/>
          <w:sz w:val="24"/>
          <w:szCs w:val="24"/>
        </w:rPr>
        <w:t xml:space="preserve"> </w:t>
      </w:r>
      <w:r w:rsidR="00915843" w:rsidRPr="00915843">
        <w:rPr>
          <w:rFonts w:ascii="Times New Roman" w:hAnsi="Times New Roman" w:cs="Times New Roman"/>
          <w:sz w:val="24"/>
          <w:szCs w:val="24"/>
        </w:rPr>
        <w:t>Hermeneutics encourages</w:t>
      </w:r>
      <w:r w:rsidR="00C50FD7">
        <w:rPr>
          <w:rFonts w:ascii="Times New Roman" w:hAnsi="Times New Roman" w:cs="Times New Roman"/>
          <w:sz w:val="24"/>
          <w:szCs w:val="24"/>
        </w:rPr>
        <w:t xml:space="preserve"> B</w:t>
      </w:r>
      <w:r w:rsidR="00915843" w:rsidRPr="00915843">
        <w:rPr>
          <w:rFonts w:ascii="Times New Roman" w:hAnsi="Times New Roman" w:cs="Times New Roman"/>
          <w:sz w:val="24"/>
          <w:szCs w:val="24"/>
        </w:rPr>
        <w:t xml:space="preserve">ible readers </w:t>
      </w:r>
      <w:r w:rsidR="00C50FD7">
        <w:rPr>
          <w:rFonts w:ascii="Times New Roman" w:hAnsi="Times New Roman" w:cs="Times New Roman"/>
          <w:sz w:val="24"/>
          <w:szCs w:val="24"/>
        </w:rPr>
        <w:t>to</w:t>
      </w:r>
      <w:r w:rsidR="00915843" w:rsidRPr="00915843">
        <w:rPr>
          <w:rFonts w:ascii="Times New Roman" w:hAnsi="Times New Roman" w:cs="Times New Roman"/>
          <w:sz w:val="24"/>
          <w:szCs w:val="24"/>
        </w:rPr>
        <w:t xml:space="preserve"> negotiate the distance between now (in light of the current understanding) and then (when the Bible was written). In other words, the cultural context must be taken into account.</w:t>
      </w:r>
      <w:r w:rsidR="00C50FD7">
        <w:rPr>
          <w:rFonts w:ascii="Times New Roman" w:hAnsi="Times New Roman" w:cs="Times New Roman"/>
          <w:sz w:val="24"/>
          <w:szCs w:val="24"/>
        </w:rPr>
        <w:t xml:space="preserve"> </w:t>
      </w:r>
    </w:p>
    <w:p w14:paraId="7A1AE3C2" w14:textId="749C2A2D" w:rsidR="00DA0CA8" w:rsidRPr="00915843" w:rsidRDefault="00C50FD7">
      <w:pPr>
        <w:rPr>
          <w:rFonts w:ascii="Times New Roman" w:hAnsi="Times New Roman" w:cs="Times New Roman"/>
          <w:sz w:val="24"/>
          <w:szCs w:val="24"/>
        </w:rPr>
      </w:pPr>
      <w:r>
        <w:rPr>
          <w:rFonts w:ascii="Times New Roman" w:hAnsi="Times New Roman" w:cs="Times New Roman"/>
          <w:sz w:val="24"/>
          <w:szCs w:val="24"/>
        </w:rPr>
        <w:t xml:space="preserve">In closing, I agree with you that the doctrine of inerrancy is essential to the contemporary church. in a postmodern era whereby pluralism and relativism </w:t>
      </w:r>
      <w:r w:rsidR="004A0C79">
        <w:rPr>
          <w:rFonts w:ascii="Times New Roman" w:hAnsi="Times New Roman" w:cs="Times New Roman"/>
          <w:sz w:val="24"/>
          <w:szCs w:val="24"/>
        </w:rPr>
        <w:t>are</w:t>
      </w:r>
      <w:r>
        <w:rPr>
          <w:rFonts w:ascii="Times New Roman" w:hAnsi="Times New Roman" w:cs="Times New Roman"/>
          <w:sz w:val="24"/>
          <w:szCs w:val="24"/>
        </w:rPr>
        <w:t xml:space="preserve"> widely accepted, biblical inerrancy </w:t>
      </w:r>
      <w:r w:rsidR="004A0C79">
        <w:rPr>
          <w:rFonts w:ascii="Times New Roman" w:hAnsi="Times New Roman" w:cs="Times New Roman"/>
          <w:sz w:val="24"/>
          <w:szCs w:val="24"/>
        </w:rPr>
        <w:t>offers a firm defense to what we believe in.</w:t>
      </w:r>
    </w:p>
    <w:p w14:paraId="0149DAC7" w14:textId="095ABD64" w:rsidR="00915843" w:rsidRPr="00915843" w:rsidRDefault="00915843">
      <w:pPr>
        <w:rPr>
          <w:rFonts w:ascii="Times New Roman" w:hAnsi="Times New Roman" w:cs="Times New Roman"/>
          <w:sz w:val="24"/>
          <w:szCs w:val="24"/>
        </w:rPr>
      </w:pPr>
    </w:p>
    <w:p w14:paraId="79206889" w14:textId="0639BE84" w:rsidR="00915843" w:rsidRPr="00915843" w:rsidRDefault="00915843">
      <w:pPr>
        <w:rPr>
          <w:rFonts w:ascii="Times New Roman" w:hAnsi="Times New Roman" w:cs="Times New Roman"/>
          <w:sz w:val="24"/>
          <w:szCs w:val="24"/>
        </w:rPr>
      </w:pPr>
      <w:r w:rsidRPr="00915843">
        <w:rPr>
          <w:rFonts w:ascii="Times New Roman" w:hAnsi="Times New Roman" w:cs="Times New Roman"/>
          <w:b/>
          <w:bCs/>
          <w:sz w:val="24"/>
          <w:szCs w:val="24"/>
        </w:rPr>
        <w:t>Bibliography</w:t>
      </w:r>
    </w:p>
    <w:p w14:paraId="0EEAA916" w14:textId="77777777" w:rsidR="00915843" w:rsidRPr="00915843" w:rsidRDefault="00915843" w:rsidP="00915843">
      <w:pPr>
        <w:ind w:left="720" w:hanging="720"/>
        <w:rPr>
          <w:rFonts w:ascii="Times New Roman" w:hAnsi="Times New Roman" w:cs="Times New Roman"/>
          <w:color w:val="0E101A"/>
          <w:sz w:val="24"/>
          <w:szCs w:val="24"/>
        </w:rPr>
      </w:pPr>
      <w:r w:rsidRPr="00915843">
        <w:rPr>
          <w:rFonts w:ascii="Times New Roman" w:hAnsi="Times New Roman" w:cs="Times New Roman"/>
          <w:color w:val="0E101A"/>
          <w:sz w:val="24"/>
          <w:szCs w:val="24"/>
        </w:rPr>
        <w:t xml:space="preserve">Erickson, Millard J. </w:t>
      </w:r>
      <w:r w:rsidRPr="00915843">
        <w:rPr>
          <w:rStyle w:val="Emphasis"/>
          <w:rFonts w:ascii="Times New Roman" w:hAnsi="Times New Roman" w:cs="Times New Roman"/>
          <w:color w:val="0E101A"/>
          <w:sz w:val="24"/>
          <w:szCs w:val="24"/>
        </w:rPr>
        <w:t>Christian Theology</w:t>
      </w:r>
      <w:r w:rsidRPr="00915843">
        <w:rPr>
          <w:rFonts w:ascii="Times New Roman" w:hAnsi="Times New Roman" w:cs="Times New Roman"/>
          <w:color w:val="0E101A"/>
          <w:sz w:val="24"/>
          <w:szCs w:val="24"/>
        </w:rPr>
        <w:t>. 3rd ed. Grand Rapids: Baker Academic, 2015.</w:t>
      </w:r>
    </w:p>
    <w:p w14:paraId="5B655914" w14:textId="77777777" w:rsidR="00915843" w:rsidRPr="00915843" w:rsidRDefault="00915843" w:rsidP="00915843">
      <w:pPr>
        <w:ind w:left="720" w:hanging="720"/>
        <w:rPr>
          <w:rFonts w:ascii="Times New Roman" w:hAnsi="Times New Roman" w:cs="Times New Roman"/>
          <w:sz w:val="24"/>
          <w:szCs w:val="24"/>
        </w:rPr>
      </w:pPr>
      <w:r w:rsidRPr="00915843">
        <w:rPr>
          <w:rFonts w:ascii="Times New Roman" w:hAnsi="Times New Roman" w:cs="Times New Roman"/>
          <w:sz w:val="24"/>
          <w:szCs w:val="24"/>
        </w:rPr>
        <w:t xml:space="preserve">Geisler, Norman &amp; Frank Turek, </w:t>
      </w:r>
      <w:r w:rsidRPr="00915843">
        <w:rPr>
          <w:rFonts w:ascii="Times New Roman" w:hAnsi="Times New Roman" w:cs="Times New Roman"/>
          <w:i/>
          <w:iCs/>
          <w:sz w:val="24"/>
          <w:szCs w:val="24"/>
        </w:rPr>
        <w:t>I Don’t Have Enough Faith to Be an Atheist</w:t>
      </w:r>
      <w:r w:rsidRPr="00915843">
        <w:rPr>
          <w:rFonts w:ascii="Times New Roman" w:hAnsi="Times New Roman" w:cs="Times New Roman"/>
          <w:sz w:val="24"/>
          <w:szCs w:val="24"/>
        </w:rPr>
        <w:t>. Wheaton: Crossway Books, 2014.</w:t>
      </w:r>
    </w:p>
    <w:p w14:paraId="704E8253" w14:textId="77777777" w:rsidR="00915843" w:rsidRPr="00915843" w:rsidRDefault="00915843">
      <w:pPr>
        <w:rPr>
          <w:rFonts w:ascii="Times New Roman" w:hAnsi="Times New Roman" w:cs="Times New Roman"/>
          <w:sz w:val="24"/>
          <w:szCs w:val="24"/>
        </w:rPr>
      </w:pPr>
    </w:p>
    <w:sectPr w:rsidR="00915843" w:rsidRPr="009158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9C80B" w14:textId="77777777" w:rsidR="007301D4" w:rsidRDefault="007301D4" w:rsidP="0079247B">
      <w:pPr>
        <w:spacing w:after="0" w:line="240" w:lineRule="auto"/>
      </w:pPr>
      <w:r>
        <w:separator/>
      </w:r>
    </w:p>
  </w:endnote>
  <w:endnote w:type="continuationSeparator" w:id="0">
    <w:p w14:paraId="0032EB21" w14:textId="77777777" w:rsidR="007301D4" w:rsidRDefault="007301D4" w:rsidP="00792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34AF7" w14:textId="77777777" w:rsidR="007301D4" w:rsidRDefault="007301D4" w:rsidP="0079247B">
      <w:pPr>
        <w:spacing w:after="0" w:line="240" w:lineRule="auto"/>
      </w:pPr>
      <w:r>
        <w:separator/>
      </w:r>
    </w:p>
  </w:footnote>
  <w:footnote w:type="continuationSeparator" w:id="0">
    <w:p w14:paraId="5A149561" w14:textId="77777777" w:rsidR="007301D4" w:rsidRDefault="007301D4" w:rsidP="0079247B">
      <w:pPr>
        <w:spacing w:after="0" w:line="240" w:lineRule="auto"/>
      </w:pPr>
      <w:r>
        <w:continuationSeparator/>
      </w:r>
    </w:p>
  </w:footnote>
  <w:footnote w:id="1">
    <w:p w14:paraId="62E0F8C7" w14:textId="2D2C5423" w:rsidR="0079247B" w:rsidRDefault="0079247B">
      <w:pPr>
        <w:pStyle w:val="FootnoteText"/>
      </w:pPr>
      <w:r>
        <w:rPr>
          <w:rStyle w:val="FootnoteReference"/>
        </w:rPr>
        <w:footnoteRef/>
      </w:r>
      <w:r>
        <w:t xml:space="preserve"> </w:t>
      </w:r>
      <w:r w:rsidRPr="005E6FF1">
        <w:rPr>
          <w:rFonts w:ascii="Times New Roman" w:hAnsi="Times New Roman" w:cs="Times New Roman"/>
        </w:rPr>
        <w:t xml:space="preserve">Norman Geisler &amp; Frank Turek, </w:t>
      </w:r>
      <w:r w:rsidRPr="005E6FF1">
        <w:rPr>
          <w:rFonts w:ascii="Times New Roman" w:hAnsi="Times New Roman" w:cs="Times New Roman"/>
          <w:i/>
          <w:iCs/>
        </w:rPr>
        <w:t>I Don’t Have Enough Faith to Be an Atheist</w:t>
      </w:r>
      <w:r w:rsidRPr="005E6FF1">
        <w:rPr>
          <w:rFonts w:ascii="Times New Roman" w:hAnsi="Times New Roman" w:cs="Times New Roman"/>
        </w:rPr>
        <w:t>. (Wheaton: Crossway Books, 2014), 370.</w:t>
      </w:r>
    </w:p>
  </w:footnote>
  <w:footnote w:id="2">
    <w:p w14:paraId="5232ED15" w14:textId="34AD94CE" w:rsidR="0079247B" w:rsidRDefault="0079247B">
      <w:pPr>
        <w:pStyle w:val="FootnoteText"/>
      </w:pPr>
      <w:r>
        <w:rPr>
          <w:rStyle w:val="FootnoteReference"/>
        </w:rPr>
        <w:footnoteRef/>
      </w:r>
      <w:r>
        <w:t xml:space="preserve"> </w:t>
      </w:r>
      <w:r w:rsidRPr="005E6FF1">
        <w:rPr>
          <w:rFonts w:ascii="Times New Roman" w:hAnsi="Times New Roman" w:cs="Times New Roman"/>
          <w:color w:val="0E101A"/>
        </w:rPr>
        <w:t>Millard J. Erickson, </w:t>
      </w:r>
      <w:r w:rsidRPr="005E6FF1">
        <w:rPr>
          <w:rStyle w:val="Emphasis"/>
          <w:rFonts w:ascii="Times New Roman" w:hAnsi="Times New Roman" w:cs="Times New Roman"/>
          <w:color w:val="0E101A"/>
        </w:rPr>
        <w:t>Christian Theology</w:t>
      </w:r>
      <w:r w:rsidRPr="005E6FF1">
        <w:rPr>
          <w:rFonts w:ascii="Times New Roman" w:hAnsi="Times New Roman" w:cs="Times New Roman"/>
          <w:color w:val="0E101A"/>
        </w:rPr>
        <w:t xml:space="preserve">. 3rd ed. (Grand Rapids: Baker Academic, 2015), </w:t>
      </w:r>
      <w:r>
        <w:rPr>
          <w:rFonts w:ascii="Times New Roman" w:hAnsi="Times New Roman" w:cs="Times New Roman"/>
          <w:color w:val="0E101A"/>
        </w:rPr>
        <w:t>199.</w:t>
      </w:r>
    </w:p>
  </w:footnote>
  <w:footnote w:id="3">
    <w:p w14:paraId="6B2AF4AC" w14:textId="38CA0BD0" w:rsidR="00DA0CA8" w:rsidRDefault="00DA0CA8">
      <w:pPr>
        <w:pStyle w:val="FootnoteText"/>
      </w:pPr>
      <w:r>
        <w:rPr>
          <w:rStyle w:val="FootnoteReference"/>
        </w:rPr>
        <w:footnoteRef/>
      </w:r>
      <w:r>
        <w:t xml:space="preserve"> Ibid., 202.</w:t>
      </w:r>
    </w:p>
  </w:footnote>
  <w:footnote w:id="4">
    <w:p w14:paraId="7D586EFF" w14:textId="56E9A617" w:rsidR="00DA0CA8" w:rsidRDefault="00DA0CA8">
      <w:pPr>
        <w:pStyle w:val="FootnoteText"/>
      </w:pPr>
      <w:r>
        <w:rPr>
          <w:rStyle w:val="FootnoteReference"/>
        </w:rPr>
        <w:footnoteRef/>
      </w:r>
      <w:r>
        <w:t xml:space="preserve"> Ibid., 203.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D2E"/>
    <w:rsid w:val="00037D2E"/>
    <w:rsid w:val="004A0C79"/>
    <w:rsid w:val="0051774C"/>
    <w:rsid w:val="007301D4"/>
    <w:rsid w:val="0079247B"/>
    <w:rsid w:val="00894705"/>
    <w:rsid w:val="00915843"/>
    <w:rsid w:val="00B0569A"/>
    <w:rsid w:val="00C50FD7"/>
    <w:rsid w:val="00DA0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EC5F"/>
  <w15:chartTrackingRefBased/>
  <w15:docId w15:val="{81A6C45C-EF3F-4F8E-92C5-8E468416F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24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247B"/>
    <w:rPr>
      <w:sz w:val="20"/>
      <w:szCs w:val="20"/>
    </w:rPr>
  </w:style>
  <w:style w:type="character" w:styleId="FootnoteReference">
    <w:name w:val="footnote reference"/>
    <w:basedOn w:val="DefaultParagraphFont"/>
    <w:uiPriority w:val="99"/>
    <w:semiHidden/>
    <w:unhideWhenUsed/>
    <w:rsid w:val="0079247B"/>
    <w:rPr>
      <w:vertAlign w:val="superscript"/>
    </w:rPr>
  </w:style>
  <w:style w:type="character" w:styleId="Emphasis">
    <w:name w:val="Emphasis"/>
    <w:basedOn w:val="DefaultParagraphFont"/>
    <w:uiPriority w:val="20"/>
    <w:qFormat/>
    <w:rsid w:val="007924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4E7DAE1-1728-457E-9D55-5199CACD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2021-04-18T13:23:00Z</dcterms:created>
  <dcterms:modified xsi:type="dcterms:W3CDTF">2021-04-18T16:05:00Z</dcterms:modified>
</cp:coreProperties>
</file>