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6093B" w14:textId="72F6EB92" w:rsidR="00CE6D92" w:rsidRDefault="009932FB" w:rsidP="00FF0583">
      <w:pPr>
        <w:jc w:val="center"/>
        <w:rPr>
          <w:rFonts w:ascii="Times New Roman" w:hAnsi="Times New Roman" w:cs="Times New Roman"/>
          <w:b/>
          <w:bCs/>
          <w:sz w:val="24"/>
          <w:szCs w:val="24"/>
        </w:rPr>
      </w:pPr>
      <w:r w:rsidRPr="00FF0583">
        <w:rPr>
          <w:rFonts w:ascii="Times New Roman" w:hAnsi="Times New Roman" w:cs="Times New Roman"/>
          <w:b/>
          <w:bCs/>
          <w:sz w:val="24"/>
          <w:szCs w:val="24"/>
        </w:rPr>
        <w:t>Discussion Thread: Biblical Inerrancy</w:t>
      </w:r>
    </w:p>
    <w:p w14:paraId="667937B7" w14:textId="77777777" w:rsidR="003968F3" w:rsidRDefault="003968F3" w:rsidP="003968F3">
      <w:pPr>
        <w:pStyle w:val="NormalWeb"/>
        <w:spacing w:before="0" w:beforeAutospacing="0" w:after="0" w:afterAutospacing="0"/>
        <w:rPr>
          <w:color w:val="0E101A"/>
        </w:rPr>
      </w:pPr>
      <w:r>
        <w:rPr>
          <w:color w:val="0E101A"/>
        </w:rPr>
        <w:t>Arguably, there is no other religious book whose content has met widespread support and criticism in equal measure like the Bible. Despite criticism, the Bible continues to withstand the test of time, and its truths consistently reveal that it is infallible. In this discussion thread, I discuss what it means that the Bible is inerrant. Also, I defend my position that the Bible is inerrant and offer my opinion on why I think the doctrine of inerrancy matters for the contemporary church.</w:t>
      </w:r>
    </w:p>
    <w:p w14:paraId="535B485D" w14:textId="31605EEE" w:rsidR="003968F3" w:rsidRDefault="003968F3" w:rsidP="003968F3">
      <w:pPr>
        <w:pStyle w:val="NormalWeb"/>
        <w:spacing w:before="0" w:beforeAutospacing="0" w:after="0" w:afterAutospacing="0"/>
        <w:rPr>
          <w:color w:val="0E101A"/>
        </w:rPr>
      </w:pPr>
      <w:r>
        <w:rPr>
          <w:color w:val="0E101A"/>
        </w:rPr>
        <w:t>Elwell’s </w:t>
      </w:r>
      <w:r>
        <w:rPr>
          <w:rStyle w:val="Emphasis"/>
          <w:color w:val="0E101A"/>
        </w:rPr>
        <w:t>Evangelical Dictionary of Theology</w:t>
      </w:r>
      <w:r>
        <w:rPr>
          <w:color w:val="0E101A"/>
        </w:rPr>
        <w:t> defines inerrancy of the Bible as “the view that when all the facts become known, they will demonstrate that the Bible in its original autographs and correctly interpreted is entirely true and never false in all it affirms, whether that relates to doctrine or ethics or to the social, physical, or life sciences.”</w:t>
      </w:r>
      <w:r w:rsidRPr="003968F3">
        <w:rPr>
          <w:rStyle w:val="FootnoteReference"/>
        </w:rPr>
        <w:t xml:space="preserve"> </w:t>
      </w:r>
      <w:r w:rsidRPr="008D5DA0">
        <w:rPr>
          <w:rStyle w:val="FootnoteReference"/>
        </w:rPr>
        <w:footnoteReference w:id="1"/>
      </w:r>
      <w:r>
        <w:t xml:space="preserve"> </w:t>
      </w:r>
      <w:r>
        <w:rPr>
          <w:color w:val="0E101A"/>
        </w:rPr>
        <w:t>Erickson similarly understands Inerrancy of the Bible to mean: The Bible, when correctly interpreted in light of the level to which culture and the means of communication had developed at the time it was written, and in view of the purposes for which it was given, is fully truthful in all that it affirms.</w:t>
      </w:r>
      <w:r w:rsidRPr="003968F3">
        <w:rPr>
          <w:rStyle w:val="FootnoteReference"/>
        </w:rPr>
        <w:t xml:space="preserve"> </w:t>
      </w:r>
      <w:r w:rsidRPr="008D5DA0">
        <w:rPr>
          <w:rStyle w:val="FootnoteReference"/>
        </w:rPr>
        <w:footnoteReference w:id="2"/>
      </w:r>
      <w:r>
        <w:rPr>
          <w:color w:val="0E101A"/>
        </w:rPr>
        <w:t> In light of these understandings, it is of great importance to note that the doctrine of biblical inerrancy is not explicitly affirmed or taught in the Bible. </w:t>
      </w:r>
      <w:r w:rsidRPr="008D5DA0">
        <w:rPr>
          <w:rStyle w:val="FootnoteReference"/>
        </w:rPr>
        <w:footnoteReference w:id="3"/>
      </w:r>
      <w:r>
        <w:rPr>
          <w:color w:val="0E101A"/>
        </w:rPr>
        <w:t> Nonetheless, it is implicitly taught. Second Timothy 3:16 teaches that the Bible is God's breath. Therefore, simple logic would be: If God does not err and the Bible is his word, then it follows that the Bible does not have errors.</w:t>
      </w:r>
      <w:r w:rsidRPr="003968F3">
        <w:rPr>
          <w:rStyle w:val="FootnoteReference"/>
        </w:rPr>
        <w:t xml:space="preserve"> </w:t>
      </w:r>
      <w:r w:rsidRPr="008D5DA0">
        <w:rPr>
          <w:rStyle w:val="FootnoteReference"/>
        </w:rPr>
        <w:footnoteReference w:id="4"/>
      </w:r>
      <w:r>
        <w:rPr>
          <w:color w:val="0E101A"/>
        </w:rPr>
        <w:t> In other words, the Inerrancy of the Bible follows from what the Bible says about God’s character.</w:t>
      </w:r>
      <w:r w:rsidR="005E6FF1" w:rsidRPr="005E6FF1">
        <w:rPr>
          <w:rStyle w:val="FootnoteReference"/>
        </w:rPr>
        <w:t xml:space="preserve"> </w:t>
      </w:r>
      <w:r w:rsidR="005E6FF1">
        <w:rPr>
          <w:rStyle w:val="FootnoteReference"/>
        </w:rPr>
        <w:footnoteReference w:id="5"/>
      </w:r>
      <w:r>
        <w:rPr>
          <w:color w:val="0E101A"/>
        </w:rPr>
        <w:t> If the Bible says God does not lie and again says he inspired the Bible, then it means that the Bible must be free from lies.</w:t>
      </w:r>
    </w:p>
    <w:p w14:paraId="6FF3EC4D" w14:textId="63F11105" w:rsidR="003968F3" w:rsidRDefault="003968F3" w:rsidP="003968F3">
      <w:pPr>
        <w:pStyle w:val="NormalWeb"/>
        <w:spacing w:before="0" w:beforeAutospacing="0" w:after="0" w:afterAutospacing="0"/>
        <w:rPr>
          <w:color w:val="0E101A"/>
        </w:rPr>
      </w:pPr>
      <w:r>
        <w:rPr>
          <w:color w:val="0E101A"/>
        </w:rPr>
        <w:t>Also, I believe the doctrine of the inerrancy of the Bible is important to the contemporary church because it guards the church against shifting its teachings. First Timothy 4:3 warns: For the time will come when people will not put up with sound doctrine. Instead, to suit their own desires, they will gather around them a great number of teachers to say what their itching ears want to hear.</w:t>
      </w:r>
      <w:r w:rsidR="005E6FF1" w:rsidRPr="005E6FF1">
        <w:rPr>
          <w:rStyle w:val="FootnoteReference"/>
          <w:color w:val="000000"/>
          <w:shd w:val="clear" w:color="auto" w:fill="FFFFFF"/>
        </w:rPr>
        <w:t xml:space="preserve"> </w:t>
      </w:r>
      <w:r w:rsidR="005E6FF1" w:rsidRPr="008D5DA0">
        <w:rPr>
          <w:rStyle w:val="FootnoteReference"/>
          <w:color w:val="000000"/>
          <w:shd w:val="clear" w:color="auto" w:fill="FFFFFF"/>
        </w:rPr>
        <w:footnoteReference w:id="6"/>
      </w:r>
      <w:r>
        <w:rPr>
          <w:color w:val="0E101A"/>
        </w:rPr>
        <w:t> To imagine what this verse could mean if the Bible had errors, most likely it would be that the said people will easily adopt wrong teachings bearing in mind the excuse of rectifying Bible errors. The end result will be chaos.</w:t>
      </w:r>
    </w:p>
    <w:p w14:paraId="7BBD41FA" w14:textId="58172D79" w:rsidR="003968F3" w:rsidRDefault="003968F3" w:rsidP="003968F3">
      <w:pPr>
        <w:pStyle w:val="NormalWeb"/>
        <w:spacing w:before="0" w:beforeAutospacing="0" w:after="0" w:afterAutospacing="0"/>
        <w:rPr>
          <w:color w:val="0E101A"/>
        </w:rPr>
      </w:pPr>
      <w:r>
        <w:rPr>
          <w:color w:val="0E101A"/>
        </w:rPr>
        <w:t>Second, for the church to recognize the Bible as its sole authority, the doctrine of inerrancy must have been at the center. Elwell observes that this authority can only be justified by or grounded in inerrancy.</w:t>
      </w:r>
      <w:r w:rsidR="005E6FF1" w:rsidRPr="005E6FF1">
        <w:rPr>
          <w:rStyle w:val="FootnoteReference"/>
          <w:color w:val="000000"/>
          <w:shd w:val="clear" w:color="auto" w:fill="FFFFFF"/>
        </w:rPr>
        <w:t xml:space="preserve"> </w:t>
      </w:r>
      <w:r w:rsidR="005E6FF1" w:rsidRPr="008D5DA0">
        <w:rPr>
          <w:rStyle w:val="FootnoteReference"/>
          <w:color w:val="000000"/>
          <w:shd w:val="clear" w:color="auto" w:fill="FFFFFF"/>
        </w:rPr>
        <w:footnoteReference w:id="7"/>
      </w:r>
      <w:r>
        <w:rPr>
          <w:color w:val="0E101A"/>
        </w:rPr>
        <w:t xml:space="preserve"> Any error would mean that the authority of the Bible is open for questioning. </w:t>
      </w:r>
      <w:r>
        <w:rPr>
          <w:color w:val="0E101A"/>
        </w:rPr>
        <w:lastRenderedPageBreak/>
        <w:t>Without a doubt, it would lose its power. Elwell asserts, “If the Bible's inerrancy does not extend to every detail, these arguments lose their force.”</w:t>
      </w:r>
      <w:r w:rsidR="005E6FF1" w:rsidRPr="005E6FF1">
        <w:rPr>
          <w:rStyle w:val="FootnoteReference"/>
          <w:color w:val="000000"/>
          <w:shd w:val="clear" w:color="auto" w:fill="FFFFFF"/>
        </w:rPr>
        <w:t xml:space="preserve"> </w:t>
      </w:r>
      <w:r w:rsidR="005E6FF1">
        <w:rPr>
          <w:rStyle w:val="FootnoteReference"/>
          <w:color w:val="000000"/>
          <w:shd w:val="clear" w:color="auto" w:fill="FFFFFF"/>
        </w:rPr>
        <w:footnoteReference w:id="8"/>
      </w:r>
    </w:p>
    <w:p w14:paraId="26990557" w14:textId="616F9487" w:rsidR="003968F3" w:rsidRDefault="003968F3" w:rsidP="003968F3">
      <w:pPr>
        <w:pStyle w:val="NormalWeb"/>
        <w:spacing w:before="0" w:beforeAutospacing="0" w:after="0" w:afterAutospacing="0"/>
        <w:rPr>
          <w:color w:val="0E101A"/>
        </w:rPr>
      </w:pPr>
      <w:r>
        <w:rPr>
          <w:color w:val="0E101A"/>
        </w:rPr>
        <w:t xml:space="preserve">In closing, </w:t>
      </w:r>
      <w:r w:rsidR="00D67909">
        <w:rPr>
          <w:color w:val="0E101A"/>
        </w:rPr>
        <w:t xml:space="preserve">I </w:t>
      </w:r>
      <w:r>
        <w:rPr>
          <w:color w:val="0E101A"/>
        </w:rPr>
        <w:t>would like to reiterate that the church must uphold the doctrine of the inerrancy of the Bible. Without that, the church would be emasculated by all forms of false doctrines. No doubt the Bible would lack authority to sanction whatever is preached and taught. Man will sadly determine what God said. Also, he will not shy from adding to the Bible or changing what the Bible says. We have seen this in hermeneutics, whereby man misinterprets passages to make them say what he wants them to say. Without the inerrancy of the Bible, the problem could be worse.</w:t>
      </w:r>
    </w:p>
    <w:p w14:paraId="576E9546" w14:textId="77777777" w:rsidR="003968F3" w:rsidRDefault="003968F3" w:rsidP="003968F3">
      <w:pPr>
        <w:pStyle w:val="NormalWeb"/>
        <w:spacing w:before="0" w:beforeAutospacing="0" w:after="0" w:afterAutospacing="0"/>
        <w:rPr>
          <w:color w:val="0E101A"/>
        </w:rPr>
      </w:pPr>
    </w:p>
    <w:p w14:paraId="05B8292B" w14:textId="0510041B" w:rsidR="003968F3" w:rsidRDefault="003968F3" w:rsidP="00FF0583">
      <w:pPr>
        <w:jc w:val="center"/>
        <w:rPr>
          <w:rFonts w:ascii="Times New Roman" w:hAnsi="Times New Roman" w:cs="Times New Roman"/>
          <w:b/>
          <w:bCs/>
          <w:sz w:val="24"/>
          <w:szCs w:val="24"/>
        </w:rPr>
      </w:pPr>
    </w:p>
    <w:p w14:paraId="527A3D19" w14:textId="77777777" w:rsidR="003968F3" w:rsidRPr="00FF0583" w:rsidRDefault="003968F3" w:rsidP="00FF0583">
      <w:pPr>
        <w:jc w:val="center"/>
        <w:rPr>
          <w:rFonts w:ascii="Times New Roman" w:hAnsi="Times New Roman" w:cs="Times New Roman"/>
          <w:b/>
          <w:bCs/>
          <w:sz w:val="24"/>
          <w:szCs w:val="24"/>
        </w:rPr>
      </w:pPr>
    </w:p>
    <w:p w14:paraId="538663B4" w14:textId="77777777" w:rsidR="00FF0583" w:rsidRPr="00FF0583" w:rsidRDefault="00FF0583" w:rsidP="00FF0583">
      <w:pPr>
        <w:pStyle w:val="Heading1"/>
        <w:jc w:val="center"/>
      </w:pPr>
      <w:r w:rsidRPr="00FF0583">
        <w:rPr>
          <w:rFonts w:ascii="Times New Roman" w:hAnsi="Times New Roman" w:cs="Times New Roman"/>
          <w:b/>
          <w:bCs/>
          <w:color w:val="auto"/>
          <w:sz w:val="24"/>
          <w:szCs w:val="24"/>
        </w:rPr>
        <w:t>Bibliography</w:t>
      </w:r>
    </w:p>
    <w:p w14:paraId="65ABE02F" w14:textId="77777777" w:rsidR="00FF0583" w:rsidRPr="00FF0583" w:rsidRDefault="00FF0583" w:rsidP="00FF0583">
      <w:pPr>
        <w:ind w:left="720" w:hanging="720"/>
        <w:rPr>
          <w:rFonts w:ascii="Times New Roman" w:hAnsi="Times New Roman" w:cs="Times New Roman"/>
          <w:b/>
          <w:bCs/>
          <w:sz w:val="24"/>
          <w:szCs w:val="24"/>
        </w:rPr>
      </w:pPr>
      <w:bookmarkStart w:id="2" w:name="_Hlk69654624"/>
      <w:r w:rsidRPr="00FF0583">
        <w:rPr>
          <w:rFonts w:ascii="Times New Roman" w:hAnsi="Times New Roman" w:cs="Times New Roman"/>
          <w:color w:val="0E101A"/>
          <w:sz w:val="24"/>
          <w:szCs w:val="24"/>
        </w:rPr>
        <w:t>Elwell, Walter A. </w:t>
      </w:r>
      <w:r w:rsidRPr="00FF0583">
        <w:rPr>
          <w:rStyle w:val="Emphasis"/>
          <w:rFonts w:ascii="Times New Roman" w:hAnsi="Times New Roman" w:cs="Times New Roman"/>
          <w:color w:val="0E101A"/>
          <w:sz w:val="24"/>
          <w:szCs w:val="24"/>
        </w:rPr>
        <w:t>Evangelical Dictionary of Theology</w:t>
      </w:r>
      <w:r w:rsidRPr="00FF0583">
        <w:rPr>
          <w:rFonts w:ascii="Times New Roman" w:hAnsi="Times New Roman" w:cs="Times New Roman"/>
          <w:color w:val="0E101A"/>
          <w:sz w:val="24"/>
          <w:szCs w:val="24"/>
        </w:rPr>
        <w:t>. 2nd ed. Grand Rapids: Baker Academic, 2017.</w:t>
      </w:r>
    </w:p>
    <w:p w14:paraId="0DC45C38" w14:textId="77777777" w:rsidR="00FF0583" w:rsidRPr="00FF0583" w:rsidRDefault="00FF0583" w:rsidP="00FF0583">
      <w:pPr>
        <w:ind w:left="720" w:hanging="720"/>
        <w:rPr>
          <w:rFonts w:ascii="Times New Roman" w:hAnsi="Times New Roman" w:cs="Times New Roman"/>
          <w:color w:val="0E101A"/>
          <w:sz w:val="24"/>
          <w:szCs w:val="24"/>
        </w:rPr>
      </w:pPr>
      <w:bookmarkStart w:id="3" w:name="_Hlk69659001"/>
      <w:r w:rsidRPr="00FF0583">
        <w:rPr>
          <w:rFonts w:ascii="Times New Roman" w:hAnsi="Times New Roman" w:cs="Times New Roman"/>
          <w:color w:val="0E101A"/>
          <w:sz w:val="24"/>
          <w:szCs w:val="24"/>
        </w:rPr>
        <w:t xml:space="preserve">Erickson, Millard J. </w:t>
      </w:r>
      <w:r w:rsidRPr="00FF0583">
        <w:rPr>
          <w:rStyle w:val="Emphasis"/>
          <w:rFonts w:ascii="Times New Roman" w:hAnsi="Times New Roman" w:cs="Times New Roman"/>
          <w:color w:val="0E101A"/>
          <w:sz w:val="24"/>
          <w:szCs w:val="24"/>
        </w:rPr>
        <w:t>Christian Theology</w:t>
      </w:r>
      <w:r w:rsidRPr="00FF0583">
        <w:rPr>
          <w:rFonts w:ascii="Times New Roman" w:hAnsi="Times New Roman" w:cs="Times New Roman"/>
          <w:color w:val="0E101A"/>
          <w:sz w:val="24"/>
          <w:szCs w:val="24"/>
        </w:rPr>
        <w:t>. 3rd ed. Grand Rapids: Baker Academic, 2015.</w:t>
      </w:r>
    </w:p>
    <w:bookmarkEnd w:id="2"/>
    <w:p w14:paraId="41128E76" w14:textId="77777777" w:rsidR="00FF0583" w:rsidRPr="00FF0583" w:rsidRDefault="00FF0583" w:rsidP="00FF0583">
      <w:pPr>
        <w:ind w:left="720" w:hanging="720"/>
        <w:rPr>
          <w:rFonts w:ascii="Times New Roman" w:hAnsi="Times New Roman" w:cs="Times New Roman"/>
          <w:sz w:val="24"/>
          <w:szCs w:val="24"/>
        </w:rPr>
      </w:pPr>
      <w:r w:rsidRPr="00FF0583">
        <w:rPr>
          <w:rFonts w:ascii="Times New Roman" w:hAnsi="Times New Roman" w:cs="Times New Roman"/>
          <w:sz w:val="24"/>
          <w:szCs w:val="24"/>
        </w:rPr>
        <w:t xml:space="preserve">Geisler, Norman &amp; Frank Turek, </w:t>
      </w:r>
      <w:r w:rsidRPr="00FF0583">
        <w:rPr>
          <w:rFonts w:ascii="Times New Roman" w:hAnsi="Times New Roman" w:cs="Times New Roman"/>
          <w:i/>
          <w:iCs/>
          <w:sz w:val="24"/>
          <w:szCs w:val="24"/>
        </w:rPr>
        <w:t>I Don’t Have Enough Faith to Be an Atheist</w:t>
      </w:r>
      <w:r w:rsidRPr="00FF0583">
        <w:rPr>
          <w:rFonts w:ascii="Times New Roman" w:hAnsi="Times New Roman" w:cs="Times New Roman"/>
          <w:sz w:val="24"/>
          <w:szCs w:val="24"/>
        </w:rPr>
        <w:t>. Wheaton: Crossway Books, 2014.</w:t>
      </w:r>
      <w:bookmarkEnd w:id="3"/>
    </w:p>
    <w:sectPr w:rsidR="00FF0583" w:rsidRPr="00FF05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41951" w14:textId="77777777" w:rsidR="00504B8E" w:rsidRDefault="00504B8E" w:rsidP="00974AF4">
      <w:pPr>
        <w:spacing w:after="0" w:line="240" w:lineRule="auto"/>
      </w:pPr>
      <w:r>
        <w:separator/>
      </w:r>
    </w:p>
  </w:endnote>
  <w:endnote w:type="continuationSeparator" w:id="0">
    <w:p w14:paraId="0EB5208E" w14:textId="77777777" w:rsidR="00504B8E" w:rsidRDefault="00504B8E" w:rsidP="00974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A7657" w14:textId="77777777" w:rsidR="00504B8E" w:rsidRDefault="00504B8E" w:rsidP="00974AF4">
      <w:pPr>
        <w:spacing w:after="0" w:line="240" w:lineRule="auto"/>
      </w:pPr>
      <w:r>
        <w:separator/>
      </w:r>
    </w:p>
  </w:footnote>
  <w:footnote w:type="continuationSeparator" w:id="0">
    <w:p w14:paraId="6217FFF2" w14:textId="77777777" w:rsidR="00504B8E" w:rsidRDefault="00504B8E" w:rsidP="00974AF4">
      <w:pPr>
        <w:spacing w:after="0" w:line="240" w:lineRule="auto"/>
      </w:pPr>
      <w:r>
        <w:continuationSeparator/>
      </w:r>
    </w:p>
  </w:footnote>
  <w:footnote w:id="1">
    <w:p w14:paraId="33D90B10" w14:textId="066D2873" w:rsidR="003968F3" w:rsidRPr="005E6FF1" w:rsidRDefault="003968F3" w:rsidP="005E6FF1">
      <w:pPr>
        <w:pStyle w:val="NormalWeb"/>
        <w:spacing w:before="0" w:beforeAutospacing="0" w:after="240" w:afterAutospacing="0"/>
        <w:rPr>
          <w:color w:val="0E101A"/>
          <w:sz w:val="20"/>
          <w:szCs w:val="20"/>
        </w:rPr>
      </w:pPr>
      <w:r w:rsidRPr="005E6FF1">
        <w:rPr>
          <w:rStyle w:val="FootnoteReference"/>
          <w:sz w:val="20"/>
          <w:szCs w:val="20"/>
        </w:rPr>
        <w:footnoteRef/>
      </w:r>
      <w:r w:rsidRPr="005E6FF1">
        <w:rPr>
          <w:sz w:val="20"/>
          <w:szCs w:val="20"/>
        </w:rPr>
        <w:t xml:space="preserve"> </w:t>
      </w:r>
      <w:r w:rsidRPr="005E6FF1">
        <w:rPr>
          <w:color w:val="0E101A"/>
          <w:sz w:val="20"/>
          <w:szCs w:val="20"/>
        </w:rPr>
        <w:t xml:space="preserve">Walter A. Elwell, </w:t>
      </w:r>
      <w:r w:rsidRPr="005E6FF1">
        <w:rPr>
          <w:rStyle w:val="Emphasis"/>
          <w:color w:val="0E101A"/>
          <w:sz w:val="20"/>
          <w:szCs w:val="20"/>
        </w:rPr>
        <w:t>Evangelical Dictionary of Theology</w:t>
      </w:r>
      <w:r w:rsidRPr="005E6FF1">
        <w:rPr>
          <w:color w:val="0E101A"/>
          <w:sz w:val="20"/>
          <w:szCs w:val="20"/>
        </w:rPr>
        <w:t>. 2nd ed. (Grand Rapids: Baker Academic, 2017), 157.</w:t>
      </w:r>
    </w:p>
  </w:footnote>
  <w:footnote w:id="2">
    <w:p w14:paraId="3DABD4B6" w14:textId="79FE0420" w:rsidR="003968F3" w:rsidRPr="005E6FF1" w:rsidRDefault="003968F3" w:rsidP="005E6FF1">
      <w:pPr>
        <w:spacing w:after="240"/>
        <w:rPr>
          <w:rFonts w:ascii="Times New Roman" w:hAnsi="Times New Roman" w:cs="Times New Roman"/>
          <w:sz w:val="20"/>
          <w:szCs w:val="20"/>
        </w:rPr>
      </w:pPr>
      <w:r w:rsidRPr="005E6FF1">
        <w:rPr>
          <w:rStyle w:val="FootnoteReference"/>
          <w:rFonts w:ascii="Times New Roman" w:hAnsi="Times New Roman" w:cs="Times New Roman"/>
          <w:sz w:val="20"/>
          <w:szCs w:val="20"/>
        </w:rPr>
        <w:footnoteRef/>
      </w:r>
      <w:r w:rsidRPr="005E6FF1">
        <w:rPr>
          <w:rFonts w:ascii="Times New Roman" w:hAnsi="Times New Roman" w:cs="Times New Roman"/>
          <w:sz w:val="20"/>
          <w:szCs w:val="20"/>
        </w:rPr>
        <w:t xml:space="preserve"> </w:t>
      </w:r>
      <w:bookmarkStart w:id="0" w:name="_Hlk69656996"/>
      <w:r w:rsidRPr="005E6FF1">
        <w:rPr>
          <w:rFonts w:ascii="Times New Roman" w:hAnsi="Times New Roman" w:cs="Times New Roman"/>
          <w:color w:val="0E101A"/>
          <w:sz w:val="20"/>
          <w:szCs w:val="20"/>
        </w:rPr>
        <w:t>Millard J. Erickson, </w:t>
      </w:r>
      <w:r w:rsidRPr="005E6FF1">
        <w:rPr>
          <w:rStyle w:val="Emphasis"/>
          <w:rFonts w:ascii="Times New Roman" w:hAnsi="Times New Roman" w:cs="Times New Roman"/>
          <w:color w:val="0E101A"/>
          <w:sz w:val="20"/>
          <w:szCs w:val="20"/>
        </w:rPr>
        <w:t>Christian Theology</w:t>
      </w:r>
      <w:r w:rsidRPr="005E6FF1">
        <w:rPr>
          <w:rFonts w:ascii="Times New Roman" w:hAnsi="Times New Roman" w:cs="Times New Roman"/>
          <w:color w:val="0E101A"/>
          <w:sz w:val="20"/>
          <w:szCs w:val="20"/>
        </w:rPr>
        <w:t>. 3rd ed. (Grand Rapids: Baker Academic, 2015), 201.</w:t>
      </w:r>
      <w:bookmarkEnd w:id="0"/>
    </w:p>
  </w:footnote>
  <w:footnote w:id="3">
    <w:p w14:paraId="41F5DCF2" w14:textId="77777777" w:rsidR="003968F3" w:rsidRPr="005E6FF1" w:rsidRDefault="003968F3" w:rsidP="005E6FF1">
      <w:pPr>
        <w:pStyle w:val="FootnoteText"/>
        <w:spacing w:after="240"/>
        <w:rPr>
          <w:rFonts w:ascii="Times New Roman" w:hAnsi="Times New Roman" w:cs="Times New Roman"/>
        </w:rPr>
      </w:pPr>
      <w:r w:rsidRPr="005E6FF1">
        <w:rPr>
          <w:rStyle w:val="FootnoteReference"/>
          <w:rFonts w:ascii="Times New Roman" w:hAnsi="Times New Roman" w:cs="Times New Roman"/>
        </w:rPr>
        <w:footnoteRef/>
      </w:r>
      <w:r w:rsidRPr="005E6FF1">
        <w:rPr>
          <w:rFonts w:ascii="Times New Roman" w:hAnsi="Times New Roman" w:cs="Times New Roman"/>
        </w:rPr>
        <w:t xml:space="preserve"> Ibid., 197.</w:t>
      </w:r>
    </w:p>
  </w:footnote>
  <w:footnote w:id="4">
    <w:p w14:paraId="7F66484E" w14:textId="77777777" w:rsidR="003968F3" w:rsidRPr="005E6FF1" w:rsidRDefault="003968F3" w:rsidP="005E6FF1">
      <w:pPr>
        <w:pStyle w:val="FootnoteText"/>
        <w:spacing w:after="240"/>
        <w:rPr>
          <w:rFonts w:ascii="Times New Roman" w:hAnsi="Times New Roman" w:cs="Times New Roman"/>
        </w:rPr>
      </w:pPr>
      <w:r w:rsidRPr="005E6FF1">
        <w:rPr>
          <w:rStyle w:val="FootnoteReference"/>
          <w:rFonts w:ascii="Times New Roman" w:hAnsi="Times New Roman" w:cs="Times New Roman"/>
        </w:rPr>
        <w:footnoteRef/>
      </w:r>
      <w:r w:rsidRPr="005E6FF1">
        <w:rPr>
          <w:rFonts w:ascii="Times New Roman" w:hAnsi="Times New Roman" w:cs="Times New Roman"/>
        </w:rPr>
        <w:t xml:space="preserve"> </w:t>
      </w:r>
      <w:bookmarkStart w:id="1" w:name="_Hlk69656878"/>
      <w:r w:rsidRPr="005E6FF1">
        <w:rPr>
          <w:rFonts w:ascii="Times New Roman" w:hAnsi="Times New Roman" w:cs="Times New Roman"/>
        </w:rPr>
        <w:t xml:space="preserve">Norman Geisler &amp; Frank Turek, </w:t>
      </w:r>
      <w:r w:rsidRPr="005E6FF1">
        <w:rPr>
          <w:rFonts w:ascii="Times New Roman" w:hAnsi="Times New Roman" w:cs="Times New Roman"/>
          <w:i/>
          <w:iCs/>
        </w:rPr>
        <w:t>I Don’t Have Enough Faith to Be an Atheist</w:t>
      </w:r>
      <w:r w:rsidRPr="005E6FF1">
        <w:rPr>
          <w:rFonts w:ascii="Times New Roman" w:hAnsi="Times New Roman" w:cs="Times New Roman"/>
        </w:rPr>
        <w:t>. (Wheaton: Crossway Books, 2014), 370.</w:t>
      </w:r>
      <w:bookmarkEnd w:id="1"/>
    </w:p>
  </w:footnote>
  <w:footnote w:id="5">
    <w:p w14:paraId="3D7C8F13" w14:textId="77777777" w:rsidR="005E6FF1" w:rsidRPr="005E6FF1" w:rsidRDefault="005E6FF1" w:rsidP="005E6FF1">
      <w:pPr>
        <w:pStyle w:val="FootnoteText"/>
        <w:spacing w:after="240"/>
        <w:rPr>
          <w:rFonts w:ascii="Times New Roman" w:hAnsi="Times New Roman" w:cs="Times New Roman"/>
        </w:rPr>
      </w:pPr>
      <w:r w:rsidRPr="005E6FF1">
        <w:rPr>
          <w:rStyle w:val="FootnoteReference"/>
          <w:rFonts w:ascii="Times New Roman" w:hAnsi="Times New Roman" w:cs="Times New Roman"/>
        </w:rPr>
        <w:footnoteRef/>
      </w:r>
      <w:r w:rsidRPr="005E6FF1">
        <w:rPr>
          <w:rFonts w:ascii="Times New Roman" w:hAnsi="Times New Roman" w:cs="Times New Roman"/>
        </w:rPr>
        <w:t xml:space="preserve"> Elwell, </w:t>
      </w:r>
      <w:r w:rsidRPr="005E6FF1">
        <w:rPr>
          <w:rStyle w:val="Emphasis"/>
          <w:rFonts w:ascii="Times New Roman" w:hAnsi="Times New Roman" w:cs="Times New Roman"/>
          <w:color w:val="0E101A"/>
        </w:rPr>
        <w:t>Evangelical Dictionary of Theology</w:t>
      </w:r>
      <w:r w:rsidRPr="005E6FF1">
        <w:rPr>
          <w:rFonts w:ascii="Times New Roman" w:hAnsi="Times New Roman" w:cs="Times New Roman"/>
        </w:rPr>
        <w:t>, 157.</w:t>
      </w:r>
    </w:p>
  </w:footnote>
  <w:footnote w:id="6">
    <w:p w14:paraId="20FF3562" w14:textId="77777777" w:rsidR="005E6FF1" w:rsidRPr="005E6FF1" w:rsidRDefault="005E6FF1" w:rsidP="005E6FF1">
      <w:pPr>
        <w:pStyle w:val="FootnoteText"/>
        <w:spacing w:after="240"/>
        <w:rPr>
          <w:rFonts w:ascii="Times New Roman" w:hAnsi="Times New Roman" w:cs="Times New Roman"/>
        </w:rPr>
      </w:pPr>
      <w:r w:rsidRPr="005E6FF1">
        <w:rPr>
          <w:rStyle w:val="FootnoteReference"/>
          <w:rFonts w:ascii="Times New Roman" w:hAnsi="Times New Roman" w:cs="Times New Roman"/>
        </w:rPr>
        <w:footnoteRef/>
      </w:r>
      <w:r w:rsidRPr="005E6FF1">
        <w:rPr>
          <w:rFonts w:ascii="Times New Roman" w:hAnsi="Times New Roman" w:cs="Times New Roman"/>
        </w:rPr>
        <w:t xml:space="preserve"> Unless otherwise noted, all biblical passages referenced are in the </w:t>
      </w:r>
      <w:r w:rsidRPr="005E6FF1">
        <w:rPr>
          <w:rFonts w:ascii="Times New Roman" w:hAnsi="Times New Roman" w:cs="Times New Roman"/>
          <w:i/>
          <w:iCs/>
        </w:rPr>
        <w:t>New International Version</w:t>
      </w:r>
      <w:r w:rsidRPr="005E6FF1">
        <w:rPr>
          <w:rFonts w:ascii="Times New Roman" w:hAnsi="Times New Roman" w:cs="Times New Roman"/>
        </w:rPr>
        <w:t xml:space="preserve"> (Grand Rapids, MI: Zondervan, 2011).</w:t>
      </w:r>
    </w:p>
  </w:footnote>
  <w:footnote w:id="7">
    <w:p w14:paraId="1A4A357C" w14:textId="77777777" w:rsidR="005E6FF1" w:rsidRPr="005E6FF1" w:rsidRDefault="005E6FF1" w:rsidP="005E6FF1">
      <w:pPr>
        <w:pStyle w:val="FootnoteText"/>
        <w:spacing w:after="240"/>
        <w:rPr>
          <w:rFonts w:ascii="Times New Roman" w:hAnsi="Times New Roman" w:cs="Times New Roman"/>
        </w:rPr>
      </w:pPr>
      <w:r w:rsidRPr="005E6FF1">
        <w:rPr>
          <w:rStyle w:val="FootnoteReference"/>
          <w:rFonts w:ascii="Times New Roman" w:hAnsi="Times New Roman" w:cs="Times New Roman"/>
        </w:rPr>
        <w:footnoteRef/>
      </w:r>
      <w:r w:rsidRPr="005E6FF1">
        <w:rPr>
          <w:rFonts w:ascii="Times New Roman" w:hAnsi="Times New Roman" w:cs="Times New Roman"/>
        </w:rPr>
        <w:t xml:space="preserve"> Elwell, </w:t>
      </w:r>
      <w:r w:rsidRPr="005E6FF1">
        <w:rPr>
          <w:rStyle w:val="Emphasis"/>
          <w:rFonts w:ascii="Times New Roman" w:hAnsi="Times New Roman" w:cs="Times New Roman"/>
          <w:color w:val="0E101A"/>
        </w:rPr>
        <w:t>Evangelical Dictionary of Theology</w:t>
      </w:r>
      <w:r w:rsidRPr="005E6FF1">
        <w:rPr>
          <w:rFonts w:ascii="Times New Roman" w:hAnsi="Times New Roman" w:cs="Times New Roman"/>
        </w:rPr>
        <w:t>, 157.</w:t>
      </w:r>
    </w:p>
  </w:footnote>
  <w:footnote w:id="8">
    <w:p w14:paraId="43CD3BFF" w14:textId="77777777" w:rsidR="005E6FF1" w:rsidRDefault="005E6FF1" w:rsidP="005E6FF1">
      <w:pPr>
        <w:pStyle w:val="FootnoteText"/>
      </w:pPr>
      <w:r w:rsidRPr="005E6FF1">
        <w:rPr>
          <w:rStyle w:val="FootnoteReference"/>
          <w:rFonts w:ascii="Times New Roman" w:hAnsi="Times New Roman" w:cs="Times New Roman"/>
        </w:rPr>
        <w:footnoteRef/>
      </w:r>
      <w:r w:rsidRPr="005E6FF1">
        <w:rPr>
          <w:rFonts w:ascii="Times New Roman" w:hAnsi="Times New Roman" w:cs="Times New Roman"/>
        </w:rPr>
        <w:t xml:space="preserve"> Ibid., 157.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FB"/>
    <w:rsid w:val="00155659"/>
    <w:rsid w:val="002B37EB"/>
    <w:rsid w:val="003968F3"/>
    <w:rsid w:val="003B2378"/>
    <w:rsid w:val="00504B8E"/>
    <w:rsid w:val="005E6AE1"/>
    <w:rsid w:val="005E6FF1"/>
    <w:rsid w:val="00632EF6"/>
    <w:rsid w:val="0065191A"/>
    <w:rsid w:val="008D5DA0"/>
    <w:rsid w:val="00974AF4"/>
    <w:rsid w:val="009932FB"/>
    <w:rsid w:val="00A30840"/>
    <w:rsid w:val="00A80A8D"/>
    <w:rsid w:val="00AE217F"/>
    <w:rsid w:val="00CE6D92"/>
    <w:rsid w:val="00D67909"/>
    <w:rsid w:val="00E93080"/>
    <w:rsid w:val="00EF1609"/>
    <w:rsid w:val="00F84E02"/>
    <w:rsid w:val="00FF0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AD88E"/>
  <w15:chartTrackingRefBased/>
  <w15:docId w15:val="{39D1F050-ECF9-4A83-A4F5-C95C7DFFC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5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74AF4"/>
    <w:rPr>
      <w:i/>
      <w:iCs/>
    </w:rPr>
  </w:style>
  <w:style w:type="paragraph" w:styleId="FootnoteText">
    <w:name w:val="footnote text"/>
    <w:basedOn w:val="Normal"/>
    <w:link w:val="FootnoteTextChar"/>
    <w:uiPriority w:val="99"/>
    <w:semiHidden/>
    <w:unhideWhenUsed/>
    <w:rsid w:val="00974A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AF4"/>
    <w:rPr>
      <w:sz w:val="20"/>
      <w:szCs w:val="20"/>
    </w:rPr>
  </w:style>
  <w:style w:type="character" w:styleId="FootnoteReference">
    <w:name w:val="footnote reference"/>
    <w:basedOn w:val="DefaultParagraphFont"/>
    <w:uiPriority w:val="99"/>
    <w:semiHidden/>
    <w:unhideWhenUsed/>
    <w:rsid w:val="00974AF4"/>
    <w:rPr>
      <w:vertAlign w:val="superscript"/>
    </w:rPr>
  </w:style>
  <w:style w:type="paragraph" w:styleId="NormalWeb">
    <w:name w:val="Normal (Web)"/>
    <w:basedOn w:val="Normal"/>
    <w:uiPriority w:val="99"/>
    <w:unhideWhenUsed/>
    <w:rsid w:val="00A308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F0583"/>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3968F3"/>
    <w:rPr>
      <w:b/>
      <w:bCs/>
    </w:rPr>
  </w:style>
  <w:style w:type="character" w:styleId="Hyperlink">
    <w:name w:val="Hyperlink"/>
    <w:basedOn w:val="DefaultParagraphFont"/>
    <w:uiPriority w:val="99"/>
    <w:semiHidden/>
    <w:unhideWhenUsed/>
    <w:rsid w:val="003968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47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8F9C1-7ECB-439C-83D4-8BBC58A1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2021-04-11T16:26:00Z</dcterms:created>
  <dcterms:modified xsi:type="dcterms:W3CDTF">2021-04-18T16:55:00Z</dcterms:modified>
</cp:coreProperties>
</file>