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A969D" w14:textId="31897E3A" w:rsidR="00AB3345" w:rsidRDefault="00DF7C83" w:rsidP="00BF6FD8">
      <w:pPr>
        <w:spacing w:after="0" w:line="480" w:lineRule="auto"/>
        <w:jc w:val="center"/>
        <w:rPr>
          <w:rFonts w:ascii="Times New Roman" w:hAnsi="Times New Roman" w:cs="Times New Roman"/>
          <w:b/>
          <w:bCs/>
          <w:sz w:val="24"/>
          <w:szCs w:val="24"/>
        </w:rPr>
      </w:pPr>
      <w:r w:rsidRPr="00192087">
        <w:rPr>
          <w:rFonts w:ascii="Times New Roman" w:hAnsi="Times New Roman" w:cs="Times New Roman"/>
          <w:b/>
          <w:bCs/>
          <w:sz w:val="24"/>
          <w:szCs w:val="24"/>
        </w:rPr>
        <w:t>The Problem of Evil</w:t>
      </w:r>
    </w:p>
    <w:p w14:paraId="072FB149" w14:textId="77777777" w:rsidR="00552FF8" w:rsidRDefault="00552FF8" w:rsidP="00BF6FD8">
      <w:pPr>
        <w:pStyle w:val="NormalWeb"/>
        <w:spacing w:before="240" w:beforeAutospacing="0" w:after="0" w:afterAutospacing="0" w:line="480" w:lineRule="auto"/>
        <w:ind w:firstLine="720"/>
        <w:rPr>
          <w:color w:val="0E101A"/>
        </w:rPr>
      </w:pPr>
      <w:r>
        <w:rPr>
          <w:color w:val="0E101A"/>
        </w:rPr>
        <w:t>Many people find the problem of evil not only difficult but extremely problematic to the Christian faith. Nearly everyone has wondered at some point in their life how an omnipotent, omniscient and omnibenevolent God lets evil happen. Some people even suppose that since God’s quality of omnipotence means that he has the ability to do all things that are proper objects of his power, his omniscient quality means that evil is laid bare before his eyes and his omnibenevolent quality means that he has morality to intervene, he should stop evil. Sadly, despite God possessing all these superior qualities, still evil happens. Some have rationalized that the presence of evil in the world demonstrates that either God does not have the power to get rid of evil, or is not aware that evil exists, or still does not have the desire to eliminate all evil. The purpose of this thread is to demonstrate that there is a better perspective on the problem of evil. In my view, evil as a necessary accompaniment of the creation of humanity is the most beneficial theme in answering those that are critical of the Christian faith.</w:t>
      </w:r>
    </w:p>
    <w:p w14:paraId="4BB0EE99" w14:textId="1AD94268" w:rsidR="00552FF8" w:rsidRDefault="00552FF8" w:rsidP="00BF6FD8">
      <w:pPr>
        <w:pStyle w:val="NormalWeb"/>
        <w:spacing w:before="240" w:beforeAutospacing="0" w:after="0" w:afterAutospacing="0" w:line="480" w:lineRule="auto"/>
        <w:ind w:firstLine="720"/>
        <w:rPr>
          <w:color w:val="0E101A"/>
        </w:rPr>
      </w:pPr>
      <w:r>
        <w:rPr>
          <w:color w:val="0E101A"/>
        </w:rPr>
        <w:t>First, the reason is that the theme “evil as a necessary accompaniment of the creation of humanity” best describes the concept of free will that is responsible for evil. The second chapter of Genesis reveals that God created man with free will. In the garden of Eden, God instructed them to eat from all trees except the tree of the knowledge of good and evil (Gen 2:16-17, NIV).</w:t>
      </w:r>
      <w:r w:rsidRPr="00C70F76">
        <w:rPr>
          <w:rStyle w:val="FootnoteReference"/>
        </w:rPr>
        <w:footnoteReference w:id="1"/>
      </w:r>
      <w:r>
        <w:rPr>
          <w:color w:val="0E101A"/>
        </w:rPr>
        <w:t xml:space="preserve"> Free will was an essential component of their humanness. Erickson observes genuine humanity requires the ability to desire to have and do some things contrary to God's </w:t>
      </w:r>
      <w:r>
        <w:rPr>
          <w:color w:val="0E101A"/>
        </w:rPr>
        <w:lastRenderedPageBreak/>
        <w:t>intention.</w:t>
      </w:r>
      <w:r>
        <w:rPr>
          <w:rStyle w:val="FootnoteReference"/>
        </w:rPr>
        <w:footnoteReference w:id="2"/>
      </w:r>
      <w:r>
        <w:rPr>
          <w:color w:val="0E101A"/>
        </w:rPr>
        <w:t> Alvin Plantinga adds, “If a person is free with respect to a given action, then he is free to perform that action and free to refrain from performing it; no antecedent conditions and/or causal laws determine that he will perform the action, or that he won’t. It is within his power, at the time in question, to take or perform the action and within his power to refrain from it.”</w:t>
      </w:r>
      <w:r w:rsidRPr="00552FF8">
        <w:rPr>
          <w:rStyle w:val="FootnoteReference"/>
        </w:rPr>
        <w:t xml:space="preserve"> </w:t>
      </w:r>
      <w:r w:rsidRPr="00C70F76">
        <w:rPr>
          <w:rStyle w:val="FootnoteReference"/>
        </w:rPr>
        <w:footnoteReference w:id="3"/>
      </w:r>
      <w:r>
        <w:rPr>
          <w:color w:val="0E101A"/>
        </w:rPr>
        <w:t> In other words, Adam and Eve had the liberty to eat from all the trees or the tree of the knowledge of good and evil. When they chose the latter, they allowed evil and its consequences to be part of their reality as God had warned. </w:t>
      </w:r>
    </w:p>
    <w:p w14:paraId="5DBE3C72" w14:textId="70A78D2A" w:rsidR="00552FF8" w:rsidRDefault="00552FF8" w:rsidP="00BF6FD8">
      <w:pPr>
        <w:pStyle w:val="NormalWeb"/>
        <w:spacing w:before="0" w:beforeAutospacing="0" w:after="0" w:afterAutospacing="0" w:line="480" w:lineRule="auto"/>
        <w:ind w:firstLine="720"/>
        <w:rPr>
          <w:color w:val="0E101A"/>
        </w:rPr>
      </w:pPr>
      <w:r>
        <w:rPr>
          <w:color w:val="0E101A"/>
        </w:rPr>
        <w:t xml:space="preserve">Though free will is a plausible accompanying feature of humanity, it does not exhaustively deal with the problem of evil. Feinberg </w:t>
      </w:r>
      <w:r w:rsidR="00D857F1">
        <w:rPr>
          <w:color w:val="0E101A"/>
        </w:rPr>
        <w:t>observes</w:t>
      </w:r>
      <w:r>
        <w:rPr>
          <w:color w:val="0E101A"/>
        </w:rPr>
        <w:t>, “Free will is relevant to a problem of moral evil but inappropriate as an answer to someone suffering from cancer.”</w:t>
      </w:r>
      <w:r w:rsidR="00FF05E5" w:rsidRPr="00FF05E5">
        <w:rPr>
          <w:rStyle w:val="FootnoteReference"/>
        </w:rPr>
        <w:t xml:space="preserve"> </w:t>
      </w:r>
      <w:r w:rsidR="00FF05E5">
        <w:rPr>
          <w:rStyle w:val="FootnoteReference"/>
        </w:rPr>
        <w:footnoteReference w:id="4"/>
      </w:r>
      <w:r>
        <w:rPr>
          <w:color w:val="0E101A"/>
        </w:rPr>
        <w:t> Thus, we introduce another dimension of evil as an accompaniment to the creation of humanity. This dimension argues that man’s original sin dented his future, opening him to possibilities of suffering and death. According to Erickson, "For humans to have a genuine moral choice with the possibility of genuine punishment for disobedience meant that they could die."</w:t>
      </w:r>
      <w:r w:rsidR="00FF05E5">
        <w:rPr>
          <w:rStyle w:val="FootnoteReference"/>
        </w:rPr>
        <w:footnoteReference w:id="5"/>
      </w:r>
      <w:r>
        <w:rPr>
          <w:color w:val="0E101A"/>
        </w:rPr>
        <w:t> In God’s wisdom, He saw it fit to include death as part of the component of humanity. As Genesis 3:16-19 reveals, the original sin brought punishment and death to the human race.</w:t>
      </w:r>
    </w:p>
    <w:p w14:paraId="6621CB96" w14:textId="55F0A84C" w:rsidR="00552FF8" w:rsidRDefault="00552FF8" w:rsidP="00BF6FD8">
      <w:pPr>
        <w:pStyle w:val="NormalWeb"/>
        <w:spacing w:before="0" w:beforeAutospacing="0" w:after="0" w:afterAutospacing="0" w:line="480" w:lineRule="auto"/>
        <w:ind w:firstLine="720"/>
        <w:rPr>
          <w:color w:val="0E101A"/>
        </w:rPr>
      </w:pPr>
      <w:r>
        <w:rPr>
          <w:color w:val="0E101A"/>
        </w:rPr>
        <w:t xml:space="preserve">Finally, believers will find the theme of evil as an accompaniment of the creation of humanity beneficial in that it offers the best answer as to why God does not eradicate evil. </w:t>
      </w:r>
      <w:r>
        <w:rPr>
          <w:color w:val="0E101A"/>
        </w:rPr>
        <w:lastRenderedPageBreak/>
        <w:t>Erickson notes that for God to eradicate all evil, it means that he has to destroy every moral agent possessing a will capable of leading to evil.</w:t>
      </w:r>
      <w:r w:rsidR="00FF05E5" w:rsidRPr="00FF05E5">
        <w:rPr>
          <w:rStyle w:val="FootnoteReference"/>
        </w:rPr>
        <w:t xml:space="preserve"> </w:t>
      </w:r>
      <w:r w:rsidR="00FF05E5">
        <w:rPr>
          <w:rStyle w:val="FootnoteReference"/>
        </w:rPr>
        <w:footnoteReference w:id="6"/>
      </w:r>
      <w:r>
        <w:rPr>
          <w:color w:val="0E101A"/>
        </w:rPr>
        <w:t> Practically,</w:t>
      </w:r>
      <w:r w:rsidR="00D857F1">
        <w:rPr>
          <w:color w:val="0E101A"/>
        </w:rPr>
        <w:t xml:space="preserve"> since not one is perfect,</w:t>
      </w:r>
      <w:r>
        <w:rPr>
          <w:color w:val="0E101A"/>
        </w:rPr>
        <w:t xml:space="preserve"> this means everyone. Fortunately, God has chosen not to eradicate evil because he promised never again to destroy </w:t>
      </w:r>
      <w:r w:rsidR="00FF05E5">
        <w:rPr>
          <w:color w:val="0E101A"/>
        </w:rPr>
        <w:t>the</w:t>
      </w:r>
      <w:r>
        <w:rPr>
          <w:color w:val="0E101A"/>
        </w:rPr>
        <w:t xml:space="preserve"> earth (Gen 6:9).</w:t>
      </w:r>
    </w:p>
    <w:p w14:paraId="5AF3C566" w14:textId="77777777" w:rsidR="00552FF8" w:rsidRPr="00192087" w:rsidRDefault="00552FF8" w:rsidP="00BF6FD8">
      <w:pPr>
        <w:spacing w:after="0" w:line="480" w:lineRule="auto"/>
        <w:jc w:val="center"/>
        <w:rPr>
          <w:rFonts w:ascii="Times New Roman" w:hAnsi="Times New Roman" w:cs="Times New Roman"/>
          <w:b/>
          <w:bCs/>
          <w:sz w:val="24"/>
          <w:szCs w:val="24"/>
        </w:rPr>
      </w:pPr>
    </w:p>
    <w:p w14:paraId="07BA40C8" w14:textId="77777777" w:rsidR="00C70F76" w:rsidRPr="00C70F76" w:rsidRDefault="00C70F76" w:rsidP="00BF6FD8">
      <w:pPr>
        <w:spacing w:after="0" w:line="480" w:lineRule="auto"/>
        <w:rPr>
          <w:rFonts w:ascii="Times New Roman" w:hAnsi="Times New Roman" w:cs="Times New Roman"/>
          <w:sz w:val="24"/>
          <w:szCs w:val="24"/>
        </w:rPr>
      </w:pPr>
    </w:p>
    <w:p w14:paraId="08C14988" w14:textId="456D4636" w:rsidR="00663DB2" w:rsidRPr="00C70F76" w:rsidRDefault="00663DB2">
      <w:pPr>
        <w:rPr>
          <w:rFonts w:ascii="Times New Roman" w:hAnsi="Times New Roman" w:cs="Times New Roman"/>
          <w:sz w:val="24"/>
          <w:szCs w:val="24"/>
        </w:rPr>
      </w:pPr>
    </w:p>
    <w:p w14:paraId="060CC6B3" w14:textId="77777777" w:rsidR="00BF6FD8" w:rsidRDefault="00BF6FD8">
      <w:pPr>
        <w:rPr>
          <w:rFonts w:ascii="Times New Roman" w:hAnsi="Times New Roman" w:cs="Times New Roman"/>
          <w:b/>
          <w:bCs/>
          <w:sz w:val="24"/>
          <w:szCs w:val="24"/>
        </w:rPr>
      </w:pPr>
      <w:r>
        <w:rPr>
          <w:rFonts w:ascii="Times New Roman" w:hAnsi="Times New Roman" w:cs="Times New Roman"/>
          <w:b/>
          <w:bCs/>
          <w:sz w:val="24"/>
          <w:szCs w:val="24"/>
        </w:rPr>
        <w:br w:type="page"/>
      </w:r>
    </w:p>
    <w:p w14:paraId="34373C25" w14:textId="42F9D929" w:rsidR="00DF7C83" w:rsidRPr="00C70F76" w:rsidRDefault="00DF7C83" w:rsidP="00BF6FD8">
      <w:pPr>
        <w:jc w:val="center"/>
        <w:rPr>
          <w:rFonts w:ascii="Times New Roman" w:hAnsi="Times New Roman" w:cs="Times New Roman"/>
          <w:b/>
          <w:bCs/>
          <w:sz w:val="24"/>
          <w:szCs w:val="24"/>
        </w:rPr>
      </w:pPr>
      <w:r w:rsidRPr="00C70F76">
        <w:rPr>
          <w:rFonts w:ascii="Times New Roman" w:hAnsi="Times New Roman" w:cs="Times New Roman"/>
          <w:b/>
          <w:bCs/>
          <w:sz w:val="24"/>
          <w:szCs w:val="24"/>
        </w:rPr>
        <w:lastRenderedPageBreak/>
        <w:t>Bibliography</w:t>
      </w:r>
    </w:p>
    <w:p w14:paraId="136896E0" w14:textId="77777777" w:rsidR="00FF05E5" w:rsidRPr="00C70F76" w:rsidRDefault="00FF05E5" w:rsidP="00DF7C83">
      <w:pPr>
        <w:spacing w:before="240" w:line="240" w:lineRule="auto"/>
        <w:rPr>
          <w:rFonts w:ascii="Times New Roman" w:eastAsia="Malgun Gothic" w:hAnsi="Times New Roman" w:cs="Times New Roman"/>
          <w:sz w:val="24"/>
          <w:szCs w:val="24"/>
          <w:lang w:eastAsia="ko-KR"/>
        </w:rPr>
      </w:pPr>
      <w:r w:rsidRPr="00C70F76">
        <w:rPr>
          <w:rFonts w:ascii="Times New Roman" w:hAnsi="Times New Roman" w:cs="Times New Roman"/>
          <w:color w:val="0E101A"/>
          <w:sz w:val="24"/>
          <w:szCs w:val="24"/>
        </w:rPr>
        <w:t xml:space="preserve">Erickson, Millard J. </w:t>
      </w:r>
      <w:r w:rsidRPr="00C70F76">
        <w:rPr>
          <w:rStyle w:val="Emphasis"/>
          <w:rFonts w:ascii="Times New Roman" w:hAnsi="Times New Roman" w:cs="Times New Roman"/>
          <w:color w:val="0E101A"/>
          <w:sz w:val="24"/>
          <w:szCs w:val="24"/>
        </w:rPr>
        <w:t>Christian Theology</w:t>
      </w:r>
      <w:r w:rsidRPr="00C70F76">
        <w:rPr>
          <w:rFonts w:ascii="Times New Roman" w:hAnsi="Times New Roman" w:cs="Times New Roman"/>
          <w:color w:val="0E101A"/>
          <w:sz w:val="24"/>
          <w:szCs w:val="24"/>
        </w:rPr>
        <w:t>. 3rd ed. (Grand Rapids: Baker Academic, 2015.</w:t>
      </w:r>
    </w:p>
    <w:p w14:paraId="2E70DA74" w14:textId="77777777" w:rsidR="00FF05E5" w:rsidRPr="00C70F76" w:rsidRDefault="00FF05E5" w:rsidP="00DF7C83">
      <w:pPr>
        <w:spacing w:after="240"/>
        <w:ind w:left="720" w:hanging="720"/>
        <w:rPr>
          <w:rFonts w:ascii="Times New Roman" w:eastAsia="Cambria" w:hAnsi="Times New Roman" w:cs="Times New Roman"/>
          <w:sz w:val="24"/>
          <w:szCs w:val="24"/>
        </w:rPr>
      </w:pPr>
      <w:r w:rsidRPr="00C70F76">
        <w:rPr>
          <w:rFonts w:ascii="Times New Roman" w:hAnsi="Times New Roman" w:cs="Times New Roman"/>
          <w:sz w:val="24"/>
          <w:szCs w:val="24"/>
        </w:rPr>
        <w:t xml:space="preserve">Feinberg, J. S. “Evil, Problem of.” In </w:t>
      </w:r>
      <w:r w:rsidRPr="00C70F76">
        <w:rPr>
          <w:rFonts w:ascii="Times New Roman" w:hAnsi="Times New Roman" w:cs="Times New Roman"/>
          <w:i/>
          <w:iCs/>
          <w:sz w:val="24"/>
          <w:szCs w:val="24"/>
        </w:rPr>
        <w:t>Evangelical Dictionary of Theology</w:t>
      </w:r>
      <w:r w:rsidRPr="00C70F76">
        <w:rPr>
          <w:rFonts w:ascii="Times New Roman" w:hAnsi="Times New Roman" w:cs="Times New Roman"/>
          <w:sz w:val="24"/>
          <w:szCs w:val="24"/>
        </w:rPr>
        <w:t>, edited by Walter Elwell, 414-415. Grand Rapids: Baker Academic, 2017.</w:t>
      </w:r>
    </w:p>
    <w:p w14:paraId="3A796E21" w14:textId="5F82C798" w:rsidR="00FF05E5" w:rsidRPr="00C70F76" w:rsidRDefault="00FF05E5" w:rsidP="00DF7C83">
      <w:pPr>
        <w:spacing w:after="240"/>
        <w:ind w:left="720" w:hanging="720"/>
        <w:rPr>
          <w:rFonts w:ascii="Times New Roman" w:eastAsia="Cambria" w:hAnsi="Times New Roman" w:cs="Times New Roman"/>
          <w:sz w:val="24"/>
          <w:szCs w:val="24"/>
        </w:rPr>
      </w:pPr>
      <w:bookmarkStart w:id="0" w:name="_Hlk52479933"/>
      <w:r w:rsidRPr="00C70F76">
        <w:rPr>
          <w:rFonts w:ascii="Times New Roman" w:hAnsi="Times New Roman" w:cs="Times New Roman"/>
          <w:sz w:val="24"/>
          <w:szCs w:val="24"/>
        </w:rPr>
        <w:t>Planti</w:t>
      </w:r>
      <w:r>
        <w:rPr>
          <w:rFonts w:ascii="Times New Roman" w:hAnsi="Times New Roman" w:cs="Times New Roman"/>
          <w:sz w:val="24"/>
          <w:szCs w:val="24"/>
        </w:rPr>
        <w:t>n</w:t>
      </w:r>
      <w:r w:rsidRPr="00C70F76">
        <w:rPr>
          <w:rFonts w:ascii="Times New Roman" w:hAnsi="Times New Roman" w:cs="Times New Roman"/>
          <w:sz w:val="24"/>
          <w:szCs w:val="24"/>
        </w:rPr>
        <w:t xml:space="preserve">ga, Alvin. “A Freewill Defense.” In </w:t>
      </w:r>
      <w:r w:rsidRPr="00C70F76">
        <w:rPr>
          <w:rFonts w:ascii="Times New Roman" w:eastAsia="Cambria" w:hAnsi="Times New Roman" w:cs="Times New Roman"/>
          <w:i/>
          <w:iCs/>
          <w:sz w:val="24"/>
          <w:szCs w:val="24"/>
        </w:rPr>
        <w:t xml:space="preserve">Christian Apologetics: An Anthology of Primary Sources, </w:t>
      </w:r>
      <w:r w:rsidRPr="00C70F76">
        <w:rPr>
          <w:rFonts w:ascii="Times New Roman" w:eastAsia="Cambria" w:hAnsi="Times New Roman" w:cs="Times New Roman"/>
          <w:sz w:val="24"/>
          <w:szCs w:val="24"/>
        </w:rPr>
        <w:t>edited by Khaldoun Sweis &amp; Chad V. Meister, 421-431. Grand Rapids: Zondervan, 2020.</w:t>
      </w:r>
    </w:p>
    <w:bookmarkEnd w:id="0"/>
    <w:p w14:paraId="5DF96ED2" w14:textId="1C1DF112" w:rsidR="00DF7C83" w:rsidRPr="00C70F76" w:rsidRDefault="00DF7C83">
      <w:pPr>
        <w:rPr>
          <w:rFonts w:ascii="Times New Roman" w:hAnsi="Times New Roman" w:cs="Times New Roman"/>
          <w:sz w:val="24"/>
          <w:szCs w:val="24"/>
        </w:rPr>
      </w:pPr>
    </w:p>
    <w:sectPr w:rsidR="00DF7C83" w:rsidRPr="00C70F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95245" w14:textId="77777777" w:rsidR="00F922C8" w:rsidRDefault="00F922C8" w:rsidP="00B021DE">
      <w:pPr>
        <w:spacing w:after="0" w:line="240" w:lineRule="auto"/>
      </w:pPr>
      <w:r>
        <w:separator/>
      </w:r>
    </w:p>
  </w:endnote>
  <w:endnote w:type="continuationSeparator" w:id="0">
    <w:p w14:paraId="7761A20F" w14:textId="77777777" w:rsidR="00F922C8" w:rsidRDefault="00F922C8" w:rsidP="00B02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B17E0" w14:textId="77777777" w:rsidR="00F922C8" w:rsidRDefault="00F922C8" w:rsidP="00B021DE">
      <w:pPr>
        <w:spacing w:after="0" w:line="240" w:lineRule="auto"/>
      </w:pPr>
      <w:r>
        <w:separator/>
      </w:r>
    </w:p>
  </w:footnote>
  <w:footnote w:type="continuationSeparator" w:id="0">
    <w:p w14:paraId="17E3F7A7" w14:textId="77777777" w:rsidR="00F922C8" w:rsidRDefault="00F922C8" w:rsidP="00B021DE">
      <w:pPr>
        <w:spacing w:after="0" w:line="240" w:lineRule="auto"/>
      </w:pPr>
      <w:r>
        <w:continuationSeparator/>
      </w:r>
    </w:p>
  </w:footnote>
  <w:footnote w:id="1">
    <w:p w14:paraId="24377369" w14:textId="77777777" w:rsidR="00552FF8" w:rsidRPr="00FF05E5" w:rsidRDefault="00552FF8" w:rsidP="00FF05E5">
      <w:pPr>
        <w:pStyle w:val="FootnoteText"/>
        <w:spacing w:before="240"/>
        <w:ind w:firstLine="720"/>
        <w:rPr>
          <w:rFonts w:ascii="Times New Roman" w:hAnsi="Times New Roman" w:cs="Times New Roman"/>
        </w:rPr>
      </w:pPr>
      <w:r>
        <w:rPr>
          <w:rStyle w:val="FootnoteReference"/>
        </w:rPr>
        <w:footnoteRef/>
      </w:r>
      <w:r>
        <w:t xml:space="preserve"> </w:t>
      </w:r>
      <w:r w:rsidRPr="00FF05E5">
        <w:rPr>
          <w:rFonts w:ascii="Times New Roman" w:hAnsi="Times New Roman" w:cs="Times New Roman"/>
        </w:rPr>
        <w:t xml:space="preserve">Unless otherwise noted, all biblical passages referenced are in the </w:t>
      </w:r>
      <w:r w:rsidRPr="00FF05E5">
        <w:rPr>
          <w:rFonts w:ascii="Times New Roman" w:hAnsi="Times New Roman" w:cs="Times New Roman"/>
          <w:i/>
          <w:iCs/>
        </w:rPr>
        <w:t>New International Version</w:t>
      </w:r>
      <w:r w:rsidRPr="00FF05E5">
        <w:rPr>
          <w:rFonts w:ascii="Times New Roman" w:hAnsi="Times New Roman" w:cs="Times New Roman"/>
        </w:rPr>
        <w:t xml:space="preserve"> (Grand Rapids, MI: Zondervan, 2011).</w:t>
      </w:r>
    </w:p>
  </w:footnote>
  <w:footnote w:id="2">
    <w:p w14:paraId="1383C49C" w14:textId="77777777" w:rsidR="00552FF8" w:rsidRPr="00FF05E5" w:rsidRDefault="00552FF8" w:rsidP="00BF6FD8">
      <w:pPr>
        <w:pStyle w:val="FootnoteText"/>
        <w:spacing w:before="240"/>
        <w:ind w:firstLine="720"/>
        <w:rPr>
          <w:rFonts w:ascii="Times New Roman" w:hAnsi="Times New Roman" w:cs="Times New Roman"/>
        </w:rPr>
      </w:pPr>
      <w:r w:rsidRPr="00FF05E5">
        <w:rPr>
          <w:rStyle w:val="FootnoteReference"/>
          <w:rFonts w:ascii="Times New Roman" w:hAnsi="Times New Roman" w:cs="Times New Roman"/>
        </w:rPr>
        <w:footnoteRef/>
      </w:r>
      <w:r w:rsidRPr="00FF05E5">
        <w:rPr>
          <w:rFonts w:ascii="Times New Roman" w:hAnsi="Times New Roman" w:cs="Times New Roman"/>
        </w:rPr>
        <w:t xml:space="preserve"> Erickson, </w:t>
      </w:r>
      <w:r w:rsidRPr="00FF05E5">
        <w:rPr>
          <w:rStyle w:val="Emphasis"/>
          <w:rFonts w:ascii="Times New Roman" w:hAnsi="Times New Roman" w:cs="Times New Roman"/>
          <w:color w:val="0E101A"/>
        </w:rPr>
        <w:t>Christian Theology</w:t>
      </w:r>
      <w:r w:rsidRPr="00FF05E5">
        <w:rPr>
          <w:rFonts w:ascii="Times New Roman" w:hAnsi="Times New Roman" w:cs="Times New Roman"/>
          <w:color w:val="0E101A"/>
        </w:rPr>
        <w:t>, 395.</w:t>
      </w:r>
    </w:p>
  </w:footnote>
  <w:footnote w:id="3">
    <w:p w14:paraId="186FCA9F" w14:textId="58468FEC" w:rsidR="00552FF8" w:rsidRPr="00FF05E5" w:rsidRDefault="00552FF8" w:rsidP="00FF05E5">
      <w:pPr>
        <w:spacing w:before="240" w:after="240"/>
        <w:ind w:firstLine="720"/>
        <w:rPr>
          <w:rFonts w:ascii="Times New Roman" w:eastAsia="Cambria" w:hAnsi="Times New Roman" w:cs="Times New Roman"/>
          <w:sz w:val="20"/>
          <w:szCs w:val="20"/>
        </w:rPr>
      </w:pPr>
      <w:r w:rsidRPr="00FF05E5">
        <w:rPr>
          <w:rStyle w:val="FootnoteReference"/>
          <w:rFonts w:ascii="Times New Roman" w:hAnsi="Times New Roman" w:cs="Times New Roman"/>
          <w:sz w:val="20"/>
          <w:szCs w:val="20"/>
        </w:rPr>
        <w:footnoteRef/>
      </w:r>
      <w:r w:rsidRPr="00FF05E5">
        <w:rPr>
          <w:rFonts w:ascii="Times New Roman" w:hAnsi="Times New Roman" w:cs="Times New Roman"/>
          <w:sz w:val="20"/>
          <w:szCs w:val="20"/>
        </w:rPr>
        <w:t xml:space="preserve"> Alvin Planti</w:t>
      </w:r>
      <w:r w:rsidR="00FF05E5" w:rsidRPr="00FF05E5">
        <w:rPr>
          <w:rFonts w:ascii="Times New Roman" w:hAnsi="Times New Roman" w:cs="Times New Roman"/>
          <w:sz w:val="20"/>
          <w:szCs w:val="20"/>
        </w:rPr>
        <w:t>n</w:t>
      </w:r>
      <w:r w:rsidRPr="00FF05E5">
        <w:rPr>
          <w:rFonts w:ascii="Times New Roman" w:hAnsi="Times New Roman" w:cs="Times New Roman"/>
          <w:sz w:val="20"/>
          <w:szCs w:val="20"/>
        </w:rPr>
        <w:t xml:space="preserve">ga, “A Freewill Defense.” In </w:t>
      </w:r>
      <w:r w:rsidRPr="00FF05E5">
        <w:rPr>
          <w:rFonts w:ascii="Times New Roman" w:eastAsia="Cambria" w:hAnsi="Times New Roman" w:cs="Times New Roman"/>
          <w:i/>
          <w:iCs/>
          <w:sz w:val="20"/>
          <w:szCs w:val="20"/>
        </w:rPr>
        <w:t xml:space="preserve">Christian Apologetics: An Anthology of Primary Sources, </w:t>
      </w:r>
      <w:r w:rsidRPr="00FF05E5">
        <w:rPr>
          <w:rFonts w:ascii="Times New Roman" w:eastAsia="Cambria" w:hAnsi="Times New Roman" w:cs="Times New Roman"/>
          <w:sz w:val="20"/>
          <w:szCs w:val="20"/>
        </w:rPr>
        <w:t>edited by Khaldoun Sweis &amp; Chad V. Meister (Grand Rapids: Zondervan, 2020): 421.</w:t>
      </w:r>
    </w:p>
  </w:footnote>
  <w:footnote w:id="4">
    <w:p w14:paraId="73772838" w14:textId="332F7B79" w:rsidR="00FF05E5" w:rsidRPr="00BF6FD8" w:rsidRDefault="00FF05E5" w:rsidP="00BF6FD8">
      <w:pPr>
        <w:spacing w:before="240" w:after="240"/>
        <w:ind w:firstLine="720"/>
        <w:rPr>
          <w:rFonts w:ascii="Times New Roman" w:eastAsia="Cambria" w:hAnsi="Times New Roman" w:cs="Times New Roman"/>
          <w:sz w:val="20"/>
          <w:szCs w:val="20"/>
        </w:rPr>
      </w:pPr>
      <w:r w:rsidRPr="00FF05E5">
        <w:rPr>
          <w:rStyle w:val="FootnoteReference"/>
          <w:rFonts w:ascii="Times New Roman" w:hAnsi="Times New Roman" w:cs="Times New Roman"/>
          <w:sz w:val="20"/>
          <w:szCs w:val="20"/>
        </w:rPr>
        <w:footnoteRef/>
      </w:r>
      <w:r w:rsidRPr="00FF05E5">
        <w:rPr>
          <w:rFonts w:ascii="Times New Roman" w:hAnsi="Times New Roman" w:cs="Times New Roman"/>
          <w:sz w:val="20"/>
          <w:szCs w:val="20"/>
        </w:rPr>
        <w:t xml:space="preserve"> J. S. Feinberg, “Evil, Problem of.” In </w:t>
      </w:r>
      <w:r w:rsidRPr="00FF05E5">
        <w:rPr>
          <w:rFonts w:ascii="Times New Roman" w:hAnsi="Times New Roman" w:cs="Times New Roman"/>
          <w:i/>
          <w:iCs/>
          <w:sz w:val="20"/>
          <w:szCs w:val="20"/>
        </w:rPr>
        <w:t>Evangelical Dictionary of Theology</w:t>
      </w:r>
      <w:r w:rsidRPr="00FF05E5">
        <w:rPr>
          <w:rFonts w:ascii="Times New Roman" w:hAnsi="Times New Roman" w:cs="Times New Roman"/>
          <w:sz w:val="20"/>
          <w:szCs w:val="20"/>
        </w:rPr>
        <w:t>, edited by Walter Elwell (Grand Rapids: Baker Academic, 2017), 414.</w:t>
      </w:r>
    </w:p>
  </w:footnote>
  <w:footnote w:id="5">
    <w:p w14:paraId="2E4636DB" w14:textId="77777777" w:rsidR="00FF05E5" w:rsidRPr="00FF05E5" w:rsidRDefault="00FF05E5" w:rsidP="00BF6FD8">
      <w:pPr>
        <w:pStyle w:val="FootnoteText"/>
        <w:spacing w:before="240" w:after="240"/>
        <w:ind w:firstLine="720"/>
        <w:rPr>
          <w:rFonts w:ascii="Times New Roman" w:hAnsi="Times New Roman" w:cs="Times New Roman"/>
        </w:rPr>
      </w:pPr>
      <w:r w:rsidRPr="00FF05E5">
        <w:rPr>
          <w:rStyle w:val="FootnoteReference"/>
          <w:rFonts w:ascii="Times New Roman" w:hAnsi="Times New Roman" w:cs="Times New Roman"/>
        </w:rPr>
        <w:footnoteRef/>
      </w:r>
      <w:r w:rsidRPr="00FF05E5">
        <w:rPr>
          <w:rFonts w:ascii="Times New Roman" w:hAnsi="Times New Roman" w:cs="Times New Roman"/>
        </w:rPr>
        <w:t xml:space="preserve"> Ibid., 395.</w:t>
      </w:r>
    </w:p>
  </w:footnote>
  <w:footnote w:id="6">
    <w:p w14:paraId="1E8A480C" w14:textId="77777777" w:rsidR="00FF05E5" w:rsidRDefault="00FF05E5" w:rsidP="00BF6FD8">
      <w:pPr>
        <w:pStyle w:val="FootnoteText"/>
        <w:spacing w:after="240"/>
        <w:ind w:firstLine="720"/>
      </w:pPr>
      <w:r w:rsidRPr="00FF05E5">
        <w:rPr>
          <w:rStyle w:val="FootnoteReference"/>
          <w:rFonts w:ascii="Times New Roman" w:hAnsi="Times New Roman" w:cs="Times New Roman"/>
        </w:rPr>
        <w:footnoteRef/>
      </w:r>
      <w:r w:rsidRPr="00FF05E5">
        <w:rPr>
          <w:rFonts w:ascii="Times New Roman" w:hAnsi="Times New Roman" w:cs="Times New Roman"/>
        </w:rPr>
        <w:t xml:space="preserve"> Ibid., 396.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C83"/>
    <w:rsid w:val="00085002"/>
    <w:rsid w:val="00192087"/>
    <w:rsid w:val="002623C3"/>
    <w:rsid w:val="002D5E66"/>
    <w:rsid w:val="0037575D"/>
    <w:rsid w:val="00523170"/>
    <w:rsid w:val="00552FF8"/>
    <w:rsid w:val="00663DB2"/>
    <w:rsid w:val="00697CA2"/>
    <w:rsid w:val="006F4664"/>
    <w:rsid w:val="007002E3"/>
    <w:rsid w:val="00772EEC"/>
    <w:rsid w:val="007909B4"/>
    <w:rsid w:val="007A6879"/>
    <w:rsid w:val="0092143C"/>
    <w:rsid w:val="00AB3345"/>
    <w:rsid w:val="00B021DE"/>
    <w:rsid w:val="00BF6FD8"/>
    <w:rsid w:val="00C70F76"/>
    <w:rsid w:val="00CA21B9"/>
    <w:rsid w:val="00D857F1"/>
    <w:rsid w:val="00DE28EB"/>
    <w:rsid w:val="00DF7C83"/>
    <w:rsid w:val="00E467CC"/>
    <w:rsid w:val="00F922C8"/>
    <w:rsid w:val="00FF05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EE3CD"/>
  <w15:chartTrackingRefBased/>
  <w15:docId w15:val="{E9086F27-A142-4437-A2A6-E17D36AAE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F7C83"/>
    <w:rPr>
      <w:i/>
      <w:iCs/>
    </w:rPr>
  </w:style>
  <w:style w:type="paragraph" w:styleId="FootnoteText">
    <w:name w:val="footnote text"/>
    <w:basedOn w:val="Normal"/>
    <w:link w:val="FootnoteTextChar"/>
    <w:uiPriority w:val="99"/>
    <w:semiHidden/>
    <w:unhideWhenUsed/>
    <w:rsid w:val="00B021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21DE"/>
    <w:rPr>
      <w:sz w:val="20"/>
      <w:szCs w:val="20"/>
    </w:rPr>
  </w:style>
  <w:style w:type="character" w:styleId="FootnoteReference">
    <w:name w:val="footnote reference"/>
    <w:basedOn w:val="DefaultParagraphFont"/>
    <w:uiPriority w:val="99"/>
    <w:semiHidden/>
    <w:unhideWhenUsed/>
    <w:rsid w:val="00B021DE"/>
    <w:rPr>
      <w:vertAlign w:val="superscript"/>
    </w:rPr>
  </w:style>
  <w:style w:type="paragraph" w:styleId="NormalWeb">
    <w:name w:val="Normal (Web)"/>
    <w:basedOn w:val="Normal"/>
    <w:uiPriority w:val="99"/>
    <w:semiHidden/>
    <w:unhideWhenUsed/>
    <w:rsid w:val="00552F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52F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03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97E0659-BBF4-4E73-8700-3BDE1E51E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2021-04-24T20:00:00Z</dcterms:created>
  <dcterms:modified xsi:type="dcterms:W3CDTF">2022-03-02T06:12:00Z</dcterms:modified>
</cp:coreProperties>
</file>