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4EC5C3" w14:textId="4ADBE7F6" w:rsidR="00ED3A1D" w:rsidRPr="00DB24AF" w:rsidRDefault="00ED3A1D" w:rsidP="00ED3A1D">
      <w:pPr>
        <w:ind w:firstLine="720"/>
        <w:rPr>
          <w:rFonts w:ascii="Times New Roman" w:hAnsi="Times New Roman" w:cs="Times New Roman"/>
          <w:sz w:val="24"/>
          <w:szCs w:val="24"/>
        </w:rPr>
      </w:pPr>
      <w:r w:rsidRPr="00DB24AF">
        <w:rPr>
          <w:rFonts w:ascii="Times New Roman" w:hAnsi="Times New Roman" w:cs="Times New Roman"/>
          <w:sz w:val="24"/>
          <w:szCs w:val="24"/>
        </w:rPr>
        <w:t>Edwin Melendez, I enjoyed reading your post. In particular, I was impressed by how easy you made the subject at hand seem. One of the things mentioned in your discussion that caught my eyes is, “but biblical theology is at the core of them all.” I wanted to agree with you on this assertion. In agreement and as Chad Thornhill asserts, “All theology is exegesis.”</w:t>
      </w:r>
      <w:r w:rsidR="00DB24AF" w:rsidRPr="00DB24AF">
        <w:rPr>
          <w:rStyle w:val="FootnoteReference"/>
          <w:rFonts w:ascii="Times New Roman" w:hAnsi="Times New Roman" w:cs="Times New Roman"/>
          <w:color w:val="222222"/>
          <w:sz w:val="24"/>
          <w:szCs w:val="24"/>
          <w:shd w:val="clear" w:color="auto" w:fill="FFFFFF"/>
        </w:rPr>
        <w:t xml:space="preserve"> </w:t>
      </w:r>
      <w:r w:rsidR="00DB24AF">
        <w:rPr>
          <w:rFonts w:ascii="Times New Roman" w:hAnsi="Times New Roman" w:cs="Times New Roman"/>
          <w:color w:val="222222"/>
          <w:sz w:val="24"/>
          <w:szCs w:val="24"/>
          <w:shd w:val="clear" w:color="auto" w:fill="FFFFFF"/>
        </w:rPr>
        <w:t>(Thornhill, 2021)</w:t>
      </w:r>
      <w:r w:rsidRPr="00DB24AF">
        <w:rPr>
          <w:rFonts w:ascii="Times New Roman" w:hAnsi="Times New Roman" w:cs="Times New Roman"/>
          <w:sz w:val="24"/>
          <w:szCs w:val="24"/>
        </w:rPr>
        <w:t xml:space="preserve"> What this means is that an exegeted biblical theology is </w:t>
      </w:r>
      <w:proofErr w:type="gramStart"/>
      <w:r w:rsidRPr="00DB24AF">
        <w:rPr>
          <w:rFonts w:ascii="Times New Roman" w:hAnsi="Times New Roman" w:cs="Times New Roman"/>
          <w:sz w:val="24"/>
          <w:szCs w:val="24"/>
        </w:rPr>
        <w:t>a </w:t>
      </w:r>
      <w:r w:rsidRPr="00DB24AF">
        <w:rPr>
          <w:rStyle w:val="Emphasis"/>
          <w:rFonts w:ascii="Times New Roman" w:hAnsi="Times New Roman" w:cs="Times New Roman"/>
          <w:color w:val="0E101A"/>
          <w:sz w:val="24"/>
          <w:szCs w:val="24"/>
        </w:rPr>
        <w:t>prima</w:t>
      </w:r>
      <w:proofErr w:type="gramEnd"/>
      <w:r w:rsidRPr="00DB24AF">
        <w:rPr>
          <w:rStyle w:val="Emphasis"/>
          <w:rFonts w:ascii="Times New Roman" w:hAnsi="Times New Roman" w:cs="Times New Roman"/>
          <w:color w:val="0E101A"/>
          <w:sz w:val="24"/>
          <w:szCs w:val="24"/>
        </w:rPr>
        <w:t xml:space="preserve"> farcie</w:t>
      </w:r>
      <w:r w:rsidRPr="00DB24AF">
        <w:rPr>
          <w:rFonts w:ascii="Times New Roman" w:hAnsi="Times New Roman" w:cs="Times New Roman"/>
          <w:sz w:val="24"/>
          <w:szCs w:val="24"/>
        </w:rPr>
        <w:t xml:space="preserve"> of Christian theology. However, </w:t>
      </w:r>
      <w:r w:rsidR="00DB24AF">
        <w:rPr>
          <w:rFonts w:ascii="Times New Roman" w:hAnsi="Times New Roman" w:cs="Times New Roman"/>
          <w:sz w:val="24"/>
          <w:szCs w:val="24"/>
        </w:rPr>
        <w:t>it should not end there</w:t>
      </w:r>
      <w:r w:rsidRPr="00DB24AF">
        <w:rPr>
          <w:rFonts w:ascii="Times New Roman" w:hAnsi="Times New Roman" w:cs="Times New Roman"/>
          <w:sz w:val="24"/>
          <w:szCs w:val="24"/>
        </w:rPr>
        <w:t>. Where it is not possible to properly exegete a single spectrum of a passage, then it requires that other texts be consulted. For instance, where texts touch on a subject but do not entirely exhaust it. In this case, it will be hard to form a Christian theology based on that. However, with systematic theology, one can compare with other verses throughout the Bible and draw out sound theology. Besides, often we are faced with the dilemma of what practices in the Bible to keep and which ones to give up. One of the criteria of permanence that Millard Erickson offers is constancy</w:t>
      </w:r>
      <w:r w:rsidR="00DB24AF">
        <w:rPr>
          <w:rFonts w:ascii="Times New Roman" w:hAnsi="Times New Roman" w:cs="Times New Roman"/>
          <w:sz w:val="24"/>
          <w:szCs w:val="24"/>
        </w:rPr>
        <w:t xml:space="preserve"> (Erickson 2015, 80).</w:t>
      </w:r>
      <w:r w:rsidRPr="00DB24AF">
        <w:rPr>
          <w:rFonts w:ascii="Times New Roman" w:hAnsi="Times New Roman" w:cs="Times New Roman"/>
          <w:sz w:val="24"/>
          <w:szCs w:val="24"/>
        </w:rPr>
        <w:t> When we study systematic theology, we can decipher whether a practice is constant throughout the Bible or not. In this regard, systematic theology tends to offer more certainty of Christian theology than biblical theology.</w:t>
      </w:r>
    </w:p>
    <w:p w14:paraId="6B1A48CC" w14:textId="6A67A16F" w:rsidR="000E5F90" w:rsidRPr="00DB24AF" w:rsidRDefault="000E5F90">
      <w:pPr>
        <w:rPr>
          <w:rFonts w:ascii="Times New Roman" w:hAnsi="Times New Roman" w:cs="Times New Roman"/>
          <w:sz w:val="24"/>
          <w:szCs w:val="24"/>
        </w:rPr>
      </w:pPr>
    </w:p>
    <w:p w14:paraId="7F714B14" w14:textId="5E189588" w:rsidR="000E5F90" w:rsidRPr="00ED3A1D" w:rsidRDefault="00ED3A1D" w:rsidP="00ED3A1D">
      <w:pPr>
        <w:pStyle w:val="Heading1"/>
        <w:jc w:val="center"/>
        <w:rPr>
          <w:rFonts w:ascii="Times New Roman" w:hAnsi="Times New Roman" w:cs="Times New Roman"/>
          <w:sz w:val="24"/>
          <w:szCs w:val="24"/>
          <w:shd w:val="clear" w:color="auto" w:fill="FFFFFF"/>
        </w:rPr>
      </w:pPr>
      <w:r w:rsidRPr="00DB24AF">
        <w:rPr>
          <w:rFonts w:ascii="Times New Roman" w:hAnsi="Times New Roman" w:cs="Times New Roman"/>
          <w:b/>
          <w:bCs/>
          <w:color w:val="auto"/>
          <w:sz w:val="24"/>
          <w:szCs w:val="24"/>
          <w:shd w:val="clear" w:color="auto" w:fill="FFFFFF"/>
        </w:rPr>
        <w:t>Bibliography</w:t>
      </w:r>
    </w:p>
    <w:p w14:paraId="24A90BBF" w14:textId="13090609" w:rsidR="000E5F90" w:rsidRPr="00ED3A1D" w:rsidRDefault="000E5F90">
      <w:pPr>
        <w:rPr>
          <w:rFonts w:ascii="Times New Roman" w:hAnsi="Times New Roman" w:cs="Times New Roman"/>
          <w:color w:val="222222"/>
          <w:sz w:val="24"/>
          <w:szCs w:val="24"/>
          <w:shd w:val="clear" w:color="auto" w:fill="FFFFFF"/>
        </w:rPr>
      </w:pPr>
      <w:r w:rsidRPr="00ED3A1D">
        <w:rPr>
          <w:rFonts w:ascii="Times New Roman" w:hAnsi="Times New Roman" w:cs="Times New Roman"/>
          <w:color w:val="222222"/>
          <w:sz w:val="24"/>
          <w:szCs w:val="24"/>
          <w:shd w:val="clear" w:color="auto" w:fill="FFFFFF"/>
        </w:rPr>
        <w:t>Chad Thornhill</w:t>
      </w:r>
      <w:r w:rsidRPr="00ED3A1D">
        <w:rPr>
          <w:rFonts w:ascii="Times New Roman" w:hAnsi="Times New Roman" w:cs="Times New Roman"/>
          <w:color w:val="222222"/>
          <w:sz w:val="24"/>
          <w:szCs w:val="24"/>
          <w:shd w:val="clear" w:color="auto" w:fill="FFFFFF"/>
        </w:rPr>
        <w:t>, “</w:t>
      </w:r>
      <w:r w:rsidRPr="00ED3A1D">
        <w:rPr>
          <w:rFonts w:ascii="Times New Roman" w:hAnsi="Times New Roman" w:cs="Times New Roman"/>
          <w:color w:val="222222"/>
          <w:sz w:val="24"/>
          <w:szCs w:val="24"/>
          <w:shd w:val="clear" w:color="auto" w:fill="FFFFFF"/>
        </w:rPr>
        <w:t>Exegesis and Theology</w:t>
      </w:r>
      <w:r w:rsidRPr="00ED3A1D">
        <w:rPr>
          <w:rFonts w:ascii="Times New Roman" w:hAnsi="Times New Roman" w:cs="Times New Roman"/>
          <w:color w:val="222222"/>
          <w:sz w:val="24"/>
          <w:szCs w:val="24"/>
          <w:shd w:val="clear" w:color="auto" w:fill="FFFFFF"/>
        </w:rPr>
        <w:t xml:space="preserve">” (video lecture in </w:t>
      </w:r>
      <w:r w:rsidRPr="00ED3A1D">
        <w:rPr>
          <w:rFonts w:ascii="Times New Roman" w:hAnsi="Times New Roman" w:cs="Times New Roman"/>
          <w:color w:val="222222"/>
          <w:sz w:val="24"/>
          <w:szCs w:val="24"/>
          <w:shd w:val="clear" w:color="auto" w:fill="FFFFFF"/>
        </w:rPr>
        <w:t>THEO 525</w:t>
      </w:r>
      <w:r w:rsidRPr="00ED3A1D">
        <w:rPr>
          <w:rFonts w:ascii="Times New Roman" w:hAnsi="Times New Roman" w:cs="Times New Roman"/>
          <w:color w:val="222222"/>
          <w:sz w:val="24"/>
          <w:szCs w:val="24"/>
          <w:shd w:val="clear" w:color="auto" w:fill="FFFFFF"/>
        </w:rPr>
        <w:t xml:space="preserve"> at Liberty University, Lynchburg, VA, </w:t>
      </w:r>
      <w:r w:rsidRPr="00ED3A1D">
        <w:rPr>
          <w:rFonts w:ascii="Times New Roman" w:hAnsi="Times New Roman" w:cs="Times New Roman"/>
          <w:color w:val="222222"/>
          <w:sz w:val="24"/>
          <w:szCs w:val="24"/>
          <w:shd w:val="clear" w:color="auto" w:fill="FFFFFF"/>
        </w:rPr>
        <w:t>April 4</w:t>
      </w:r>
      <w:r w:rsidRPr="00ED3A1D">
        <w:rPr>
          <w:rFonts w:ascii="Times New Roman" w:hAnsi="Times New Roman" w:cs="Times New Roman"/>
          <w:color w:val="222222"/>
          <w:sz w:val="24"/>
          <w:szCs w:val="24"/>
          <w:shd w:val="clear" w:color="auto" w:fill="FFFFFF"/>
        </w:rPr>
        <w:t>, 2021).</w:t>
      </w:r>
    </w:p>
    <w:p w14:paraId="5C392FCE" w14:textId="18EBD5F1" w:rsidR="00B26C82" w:rsidRPr="00ED3A1D" w:rsidRDefault="00B26C82">
      <w:pPr>
        <w:rPr>
          <w:rFonts w:ascii="Times New Roman" w:hAnsi="Times New Roman" w:cs="Times New Roman"/>
          <w:sz w:val="24"/>
          <w:szCs w:val="24"/>
        </w:rPr>
      </w:pPr>
      <w:r w:rsidRPr="00ED3A1D">
        <w:rPr>
          <w:rFonts w:ascii="Times New Roman" w:hAnsi="Times New Roman" w:cs="Times New Roman"/>
          <w:color w:val="0E101A"/>
          <w:sz w:val="24"/>
          <w:szCs w:val="24"/>
        </w:rPr>
        <w:t>Millard J. Erickson, </w:t>
      </w:r>
      <w:r w:rsidRPr="00ED3A1D">
        <w:rPr>
          <w:rStyle w:val="Emphasis"/>
          <w:rFonts w:ascii="Times New Roman" w:hAnsi="Times New Roman" w:cs="Times New Roman"/>
          <w:color w:val="0E101A"/>
          <w:sz w:val="24"/>
          <w:szCs w:val="24"/>
        </w:rPr>
        <w:t>Christian Theology</w:t>
      </w:r>
      <w:r w:rsidRPr="00ED3A1D">
        <w:rPr>
          <w:rFonts w:ascii="Times New Roman" w:hAnsi="Times New Roman" w:cs="Times New Roman"/>
          <w:color w:val="0E101A"/>
          <w:sz w:val="24"/>
          <w:szCs w:val="24"/>
        </w:rPr>
        <w:t>. 3rd ed. (Grand Rapids: Baker Academic, 2015),</w:t>
      </w:r>
    </w:p>
    <w:sectPr w:rsidR="00B26C82" w:rsidRPr="00ED3A1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D93025" w14:textId="77777777" w:rsidR="009D572A" w:rsidRDefault="009D572A" w:rsidP="00B26C82">
      <w:pPr>
        <w:spacing w:after="0" w:line="240" w:lineRule="auto"/>
      </w:pPr>
      <w:r>
        <w:separator/>
      </w:r>
    </w:p>
  </w:endnote>
  <w:endnote w:type="continuationSeparator" w:id="0">
    <w:p w14:paraId="4058932F" w14:textId="77777777" w:rsidR="009D572A" w:rsidRDefault="009D572A" w:rsidP="00B26C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D3E6CC" w14:textId="77777777" w:rsidR="009D572A" w:rsidRDefault="009D572A" w:rsidP="00B26C82">
      <w:pPr>
        <w:spacing w:after="0" w:line="240" w:lineRule="auto"/>
      </w:pPr>
      <w:r>
        <w:separator/>
      </w:r>
    </w:p>
  </w:footnote>
  <w:footnote w:type="continuationSeparator" w:id="0">
    <w:p w14:paraId="23355CEC" w14:textId="77777777" w:rsidR="009D572A" w:rsidRDefault="009D572A" w:rsidP="00B26C8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F90"/>
    <w:rsid w:val="000A3487"/>
    <w:rsid w:val="000E5F90"/>
    <w:rsid w:val="006B0642"/>
    <w:rsid w:val="009D572A"/>
    <w:rsid w:val="00B26C82"/>
    <w:rsid w:val="00DB24AF"/>
    <w:rsid w:val="00ED3A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CA9BC"/>
  <w15:chartTrackingRefBased/>
  <w15:docId w15:val="{795DC83E-8A51-49EC-9EF0-0D8CE8477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3A1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B26C82"/>
    <w:rPr>
      <w:i/>
      <w:iCs/>
    </w:rPr>
  </w:style>
  <w:style w:type="paragraph" w:styleId="FootnoteText">
    <w:name w:val="footnote text"/>
    <w:basedOn w:val="Normal"/>
    <w:link w:val="FootnoteTextChar"/>
    <w:uiPriority w:val="99"/>
    <w:semiHidden/>
    <w:unhideWhenUsed/>
    <w:rsid w:val="00B26C8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26C82"/>
    <w:rPr>
      <w:sz w:val="20"/>
      <w:szCs w:val="20"/>
    </w:rPr>
  </w:style>
  <w:style w:type="character" w:styleId="FootnoteReference">
    <w:name w:val="footnote reference"/>
    <w:basedOn w:val="DefaultParagraphFont"/>
    <w:uiPriority w:val="99"/>
    <w:semiHidden/>
    <w:unhideWhenUsed/>
    <w:rsid w:val="00B26C82"/>
    <w:rPr>
      <w:vertAlign w:val="superscript"/>
    </w:rPr>
  </w:style>
  <w:style w:type="character" w:customStyle="1" w:styleId="Heading1Char">
    <w:name w:val="Heading 1 Char"/>
    <w:basedOn w:val="DefaultParagraphFont"/>
    <w:link w:val="Heading1"/>
    <w:uiPriority w:val="9"/>
    <w:rsid w:val="00ED3A1D"/>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semiHidden/>
    <w:unhideWhenUsed/>
    <w:rsid w:val="00ED3A1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F1B3A51C-87B2-460A-8CF0-36C030A22B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Pages>
  <Words>232</Words>
  <Characters>1327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2021-04-04T19:59:00Z</dcterms:created>
  <dcterms:modified xsi:type="dcterms:W3CDTF">2021-04-04T21:01:00Z</dcterms:modified>
</cp:coreProperties>
</file>