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AC812" w14:textId="2DCFB5D2" w:rsidR="00920DAC" w:rsidRPr="00184DCA" w:rsidRDefault="00184DCA">
      <w:pPr>
        <w:rPr>
          <w:rFonts w:ascii="Times New Roman" w:hAnsi="Times New Roman" w:cs="Times New Roman"/>
          <w:sz w:val="24"/>
          <w:szCs w:val="24"/>
        </w:rPr>
      </w:pPr>
      <w:r w:rsidRPr="00184DCA">
        <w:rPr>
          <w:rFonts w:ascii="Times New Roman" w:hAnsi="Times New Roman" w:cs="Times New Roman"/>
          <w:sz w:val="24"/>
          <w:szCs w:val="24"/>
        </w:rPr>
        <w:t>George Corey,</w:t>
      </w:r>
    </w:p>
    <w:p w14:paraId="0FCFE1FE" w14:textId="77777777" w:rsidR="007910AA" w:rsidRPr="007910AA" w:rsidRDefault="007910AA" w:rsidP="007910AA">
      <w:pPr>
        <w:pStyle w:val="NormalWeb"/>
        <w:spacing w:before="0" w:beforeAutospacing="0" w:after="0" w:afterAutospacing="0"/>
        <w:rPr>
          <w:color w:val="0E101A"/>
        </w:rPr>
      </w:pPr>
      <w:r w:rsidRPr="007910AA">
        <w:rPr>
          <w:color w:val="0E101A"/>
        </w:rPr>
        <w:t>I enjoyed reading your post. I also chose </w:t>
      </w:r>
      <w:r w:rsidRPr="007910AA">
        <w:rPr>
          <w:rStyle w:val="Emphasis"/>
          <w:color w:val="0E101A"/>
        </w:rPr>
        <w:t>Evil as a Necessary Accompaniment of the Creation of Humanity</w:t>
      </w:r>
      <w:r w:rsidRPr="007910AA">
        <w:rPr>
          <w:rStyle w:val="Emphasis"/>
          <w:i w:val="0"/>
          <w:iCs w:val="0"/>
          <w:color w:val="0E101A"/>
        </w:rPr>
        <w:t xml:space="preserve"> as the most beneficial theme of dealing with the problem of evil. Reading your post helped me see things from a new perspective. Though I mentioned in my thread God’s qualities of omnipotence, omniscience, and omnibenevolence, I did not mention that God cannot do some things. This is a very important point to bring into view especially when discussing the concept of freewill. As you said, many people believe that there is nothing that God cannot do. How fitting it is to point out that God will not overstep </w:t>
      </w:r>
      <w:proofErr w:type="gramStart"/>
      <w:r w:rsidRPr="007910AA">
        <w:rPr>
          <w:rStyle w:val="Emphasis"/>
          <w:i w:val="0"/>
          <w:iCs w:val="0"/>
          <w:color w:val="0E101A"/>
        </w:rPr>
        <w:t>man’s</w:t>
      </w:r>
      <w:proofErr w:type="gramEnd"/>
      <w:r w:rsidRPr="007910AA">
        <w:rPr>
          <w:rStyle w:val="Emphasis"/>
          <w:i w:val="0"/>
          <w:iCs w:val="0"/>
          <w:color w:val="0E101A"/>
        </w:rPr>
        <w:t xml:space="preserve"> freewill. Ericson points out the reason as, “Humans would not be genuinely human without free will” (Erickson 2015, 394). Humans will be like machines or robots or as you mentioned androids. For God to have made humans as he purposed means that they had to have certain capacities (e.g., the capacities to desire and to act) which they could not fully exercise if there were no such thing as evil (394). </w:t>
      </w:r>
    </w:p>
    <w:p w14:paraId="351D9535" w14:textId="060C0EC4" w:rsidR="007910AA" w:rsidRPr="007910AA" w:rsidRDefault="007910AA" w:rsidP="007910AA">
      <w:pPr>
        <w:pStyle w:val="NormalWeb"/>
        <w:spacing w:before="0" w:beforeAutospacing="0" w:after="0" w:afterAutospacing="0"/>
        <w:rPr>
          <w:color w:val="0E101A"/>
        </w:rPr>
      </w:pPr>
      <w:r w:rsidRPr="007910AA">
        <w:rPr>
          <w:rStyle w:val="Emphasis"/>
          <w:i w:val="0"/>
          <w:iCs w:val="0"/>
          <w:color w:val="0E101A"/>
        </w:rPr>
        <w:t>Also, I find this theme most beneficial because it is a formidable defense against refuting God’s goodness. Alvin Plantinga asserts, “The Free Will Defense can be looked upon as an effort to show that there may be a very different kind of good that God can’t bring about without permitting evil”</w:t>
      </w:r>
      <w:r w:rsidRPr="007910AA">
        <w:rPr>
          <w:color w:val="0E101A"/>
        </w:rPr>
        <w:t> (Khaldoun 2020</w:t>
      </w:r>
      <w:r>
        <w:rPr>
          <w:color w:val="0E101A"/>
        </w:rPr>
        <w:t>,</w:t>
      </w:r>
      <w:r w:rsidRPr="007910AA">
        <w:rPr>
          <w:color w:val="0E101A"/>
        </w:rPr>
        <w:t xml:space="preserve"> 421). In other words, evil makes good shine.</w:t>
      </w:r>
    </w:p>
    <w:p w14:paraId="7712AF9A" w14:textId="77777777" w:rsidR="005253CE" w:rsidRDefault="005253CE">
      <w:pPr>
        <w:rPr>
          <w:rFonts w:ascii="Times New Roman" w:hAnsi="Times New Roman" w:cs="Times New Roman"/>
          <w:b/>
          <w:bCs/>
          <w:color w:val="222222"/>
          <w:sz w:val="24"/>
          <w:szCs w:val="24"/>
          <w:shd w:val="clear" w:color="auto" w:fill="FFFFFF"/>
        </w:rPr>
      </w:pPr>
    </w:p>
    <w:p w14:paraId="20F9BFAB" w14:textId="2736A989" w:rsidR="005253CE" w:rsidRPr="005253CE" w:rsidRDefault="005253CE">
      <w:pPr>
        <w:rPr>
          <w:rFonts w:ascii="Times New Roman" w:hAnsi="Times New Roman" w:cs="Times New Roman"/>
          <w:b/>
          <w:bCs/>
          <w:color w:val="222222"/>
          <w:sz w:val="24"/>
          <w:szCs w:val="24"/>
          <w:shd w:val="clear" w:color="auto" w:fill="FFFFFF"/>
        </w:rPr>
      </w:pPr>
      <w:r w:rsidRPr="005253CE">
        <w:rPr>
          <w:rFonts w:ascii="Times New Roman" w:hAnsi="Times New Roman" w:cs="Times New Roman"/>
          <w:b/>
          <w:bCs/>
          <w:color w:val="222222"/>
          <w:sz w:val="24"/>
          <w:szCs w:val="24"/>
          <w:shd w:val="clear" w:color="auto" w:fill="FFFFFF"/>
        </w:rPr>
        <w:t>Bibliography</w:t>
      </w:r>
    </w:p>
    <w:p w14:paraId="18FB5CFF" w14:textId="77777777" w:rsidR="005253CE" w:rsidRPr="00C70F76" w:rsidRDefault="005253CE" w:rsidP="005253CE">
      <w:pPr>
        <w:spacing w:before="240" w:line="240" w:lineRule="auto"/>
        <w:rPr>
          <w:rFonts w:ascii="Times New Roman" w:eastAsia="Malgun Gothic" w:hAnsi="Times New Roman" w:cs="Times New Roman"/>
          <w:sz w:val="24"/>
          <w:szCs w:val="24"/>
          <w:lang w:eastAsia="ko-KR"/>
        </w:rPr>
      </w:pPr>
      <w:r w:rsidRPr="00C70F76">
        <w:rPr>
          <w:rFonts w:ascii="Times New Roman" w:hAnsi="Times New Roman" w:cs="Times New Roman"/>
          <w:color w:val="0E101A"/>
          <w:sz w:val="24"/>
          <w:szCs w:val="24"/>
        </w:rPr>
        <w:t xml:space="preserve">Erickson, Millard J. </w:t>
      </w:r>
      <w:r w:rsidRPr="00C70F76">
        <w:rPr>
          <w:rStyle w:val="Emphasis"/>
          <w:rFonts w:ascii="Times New Roman" w:hAnsi="Times New Roman" w:cs="Times New Roman"/>
          <w:color w:val="0E101A"/>
          <w:sz w:val="24"/>
          <w:szCs w:val="24"/>
        </w:rPr>
        <w:t>Christian Theology</w:t>
      </w:r>
      <w:r w:rsidRPr="00C70F76">
        <w:rPr>
          <w:rFonts w:ascii="Times New Roman" w:hAnsi="Times New Roman" w:cs="Times New Roman"/>
          <w:color w:val="0E101A"/>
          <w:sz w:val="24"/>
          <w:szCs w:val="24"/>
        </w:rPr>
        <w:t>. 3rd ed. (Grand Rapids: Baker Academic, 2015.</w:t>
      </w:r>
    </w:p>
    <w:p w14:paraId="7E2B5DAD" w14:textId="77777777" w:rsidR="005253CE" w:rsidRPr="00C70F76" w:rsidRDefault="005253CE" w:rsidP="005253CE">
      <w:pPr>
        <w:spacing w:after="240"/>
        <w:ind w:left="720" w:hanging="720"/>
        <w:rPr>
          <w:rFonts w:ascii="Times New Roman" w:eastAsia="Cambria" w:hAnsi="Times New Roman" w:cs="Times New Roman"/>
          <w:sz w:val="24"/>
          <w:szCs w:val="24"/>
        </w:rPr>
      </w:pPr>
      <w:bookmarkStart w:id="0" w:name="_Hlk52479933"/>
      <w:r w:rsidRPr="00C70F76">
        <w:rPr>
          <w:rFonts w:ascii="Times New Roman" w:hAnsi="Times New Roman" w:cs="Times New Roman"/>
          <w:sz w:val="24"/>
          <w:szCs w:val="24"/>
        </w:rPr>
        <w:t>Planti</w:t>
      </w:r>
      <w:r>
        <w:rPr>
          <w:rFonts w:ascii="Times New Roman" w:hAnsi="Times New Roman" w:cs="Times New Roman"/>
          <w:sz w:val="24"/>
          <w:szCs w:val="24"/>
        </w:rPr>
        <w:t>n</w:t>
      </w:r>
      <w:r w:rsidRPr="00C70F76">
        <w:rPr>
          <w:rFonts w:ascii="Times New Roman" w:hAnsi="Times New Roman" w:cs="Times New Roman"/>
          <w:sz w:val="24"/>
          <w:szCs w:val="24"/>
        </w:rPr>
        <w:t xml:space="preserve">ga, Alvin. “A Freewill Defense.” In </w:t>
      </w:r>
      <w:r w:rsidRPr="00C70F76">
        <w:rPr>
          <w:rFonts w:ascii="Times New Roman" w:eastAsia="Cambria" w:hAnsi="Times New Roman" w:cs="Times New Roman"/>
          <w:i/>
          <w:iCs/>
          <w:sz w:val="24"/>
          <w:szCs w:val="24"/>
        </w:rPr>
        <w:t xml:space="preserve">Christian Apologetics: An Anthology of Primary Sources, </w:t>
      </w:r>
      <w:r w:rsidRPr="00C70F76">
        <w:rPr>
          <w:rFonts w:ascii="Times New Roman" w:eastAsia="Cambria" w:hAnsi="Times New Roman" w:cs="Times New Roman"/>
          <w:sz w:val="24"/>
          <w:szCs w:val="24"/>
        </w:rPr>
        <w:t>edited by Khaldoun Sweis &amp; Chad V. Meister, 421-431. Grand Rapids: Zondervan, 2020.</w:t>
      </w:r>
    </w:p>
    <w:bookmarkEnd w:id="0"/>
    <w:p w14:paraId="20F151B6" w14:textId="77777777" w:rsidR="005253CE" w:rsidRPr="00F6457E" w:rsidRDefault="005253CE">
      <w:pPr>
        <w:rPr>
          <w:rFonts w:ascii="Times New Roman" w:hAnsi="Times New Roman" w:cs="Times New Roman"/>
          <w:color w:val="222222"/>
          <w:sz w:val="24"/>
          <w:szCs w:val="24"/>
          <w:shd w:val="clear" w:color="auto" w:fill="FFFFFF"/>
        </w:rPr>
      </w:pPr>
    </w:p>
    <w:sectPr w:rsidR="005253CE" w:rsidRPr="00F645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04306" w14:textId="77777777" w:rsidR="008E140D" w:rsidRDefault="008E140D" w:rsidP="00F6457E">
      <w:pPr>
        <w:spacing w:after="0" w:line="240" w:lineRule="auto"/>
      </w:pPr>
      <w:r>
        <w:separator/>
      </w:r>
    </w:p>
  </w:endnote>
  <w:endnote w:type="continuationSeparator" w:id="0">
    <w:p w14:paraId="466BBEF7" w14:textId="77777777" w:rsidR="008E140D" w:rsidRDefault="008E140D" w:rsidP="00F64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FFE39" w14:textId="77777777" w:rsidR="008E140D" w:rsidRDefault="008E140D" w:rsidP="00F6457E">
      <w:pPr>
        <w:spacing w:after="0" w:line="240" w:lineRule="auto"/>
      </w:pPr>
      <w:r>
        <w:separator/>
      </w:r>
    </w:p>
  </w:footnote>
  <w:footnote w:type="continuationSeparator" w:id="0">
    <w:p w14:paraId="27122E34" w14:textId="77777777" w:rsidR="008E140D" w:rsidRDefault="008E140D" w:rsidP="00F645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DCA"/>
    <w:rsid w:val="00184DCA"/>
    <w:rsid w:val="005253CE"/>
    <w:rsid w:val="007910AA"/>
    <w:rsid w:val="008E140D"/>
    <w:rsid w:val="00920DAC"/>
    <w:rsid w:val="00F64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1D122"/>
  <w15:chartTrackingRefBased/>
  <w15:docId w15:val="{344961C8-AB8F-40AB-8FE4-AFAC098D6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84DCA"/>
    <w:rPr>
      <w:i/>
      <w:iCs/>
    </w:rPr>
  </w:style>
  <w:style w:type="paragraph" w:styleId="FootnoteText">
    <w:name w:val="footnote text"/>
    <w:basedOn w:val="Normal"/>
    <w:link w:val="FootnoteTextChar"/>
    <w:uiPriority w:val="99"/>
    <w:semiHidden/>
    <w:unhideWhenUsed/>
    <w:rsid w:val="00F645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457E"/>
    <w:rPr>
      <w:sz w:val="20"/>
      <w:szCs w:val="20"/>
    </w:rPr>
  </w:style>
  <w:style w:type="character" w:styleId="FootnoteReference">
    <w:name w:val="footnote reference"/>
    <w:basedOn w:val="DefaultParagraphFont"/>
    <w:uiPriority w:val="99"/>
    <w:semiHidden/>
    <w:unhideWhenUsed/>
    <w:rsid w:val="00F6457E"/>
    <w:rPr>
      <w:vertAlign w:val="superscript"/>
    </w:rPr>
  </w:style>
  <w:style w:type="paragraph" w:styleId="NormalWeb">
    <w:name w:val="Normal (Web)"/>
    <w:basedOn w:val="Normal"/>
    <w:uiPriority w:val="99"/>
    <w:semiHidden/>
    <w:unhideWhenUsed/>
    <w:rsid w:val="007910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887974">
      <w:bodyDiv w:val="1"/>
      <w:marLeft w:val="0"/>
      <w:marRight w:val="0"/>
      <w:marTop w:val="0"/>
      <w:marBottom w:val="0"/>
      <w:divBdr>
        <w:top w:val="none" w:sz="0" w:space="0" w:color="auto"/>
        <w:left w:val="none" w:sz="0" w:space="0" w:color="auto"/>
        <w:bottom w:val="none" w:sz="0" w:space="0" w:color="auto"/>
        <w:right w:val="none" w:sz="0" w:space="0" w:color="auto"/>
      </w:divBdr>
    </w:div>
    <w:div w:id="993222136">
      <w:bodyDiv w:val="1"/>
      <w:marLeft w:val="0"/>
      <w:marRight w:val="0"/>
      <w:marTop w:val="0"/>
      <w:marBottom w:val="0"/>
      <w:divBdr>
        <w:top w:val="none" w:sz="0" w:space="0" w:color="auto"/>
        <w:left w:val="none" w:sz="0" w:space="0" w:color="auto"/>
        <w:bottom w:val="none" w:sz="0" w:space="0" w:color="auto"/>
        <w:right w:val="none" w:sz="0" w:space="0" w:color="auto"/>
      </w:divBdr>
    </w:div>
    <w:div w:id="181078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48351F0-353F-479D-9E98-E0CD38196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2021-05-02T21:35:00Z</dcterms:created>
  <dcterms:modified xsi:type="dcterms:W3CDTF">2021-05-02T22:15:00Z</dcterms:modified>
</cp:coreProperties>
</file>