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p>
    <w:p w14:paraId="5D55129F" w14:textId="77777777" w:rsidR="00F630B3" w:rsidRPr="00F630B3" w:rsidRDefault="00F630B3" w:rsidP="00F630B3">
      <w:pPr>
        <w:jc w:val="center"/>
        <w:rPr>
          <w:rFonts w:eastAsia="Malgun Gothic" w:cs="Times New Roman"/>
          <w:szCs w:val="24"/>
          <w:lang w:eastAsia="ko-KR"/>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F630B3">
        <w:rPr>
          <w:rFonts w:eastAsia="Malgun Gothic" w:cs="Times New Roman"/>
          <w:szCs w:val="24"/>
          <w:lang w:eastAsia="ko-KR"/>
        </w:rPr>
        <w:t>LIBERTY UNIVERSITY SCHOOL OF DIVINITY</w:t>
      </w:r>
    </w:p>
    <w:p w14:paraId="23B8350E" w14:textId="77777777" w:rsidR="00F630B3" w:rsidRPr="00F630B3" w:rsidRDefault="00F630B3" w:rsidP="00F630B3">
      <w:pPr>
        <w:spacing w:line="240" w:lineRule="auto"/>
        <w:jc w:val="center"/>
        <w:rPr>
          <w:rFonts w:eastAsia="Malgun Gothic" w:cs="Times New Roman"/>
          <w:szCs w:val="24"/>
          <w:lang w:eastAsia="ko-KR"/>
        </w:rPr>
      </w:pPr>
    </w:p>
    <w:p w14:paraId="6CD82503" w14:textId="77777777" w:rsidR="00F630B3" w:rsidRPr="00F630B3" w:rsidRDefault="00F630B3" w:rsidP="00F630B3">
      <w:pPr>
        <w:spacing w:line="240" w:lineRule="auto"/>
        <w:jc w:val="center"/>
        <w:rPr>
          <w:rFonts w:eastAsia="Malgun Gothic" w:cs="Times New Roman"/>
          <w:szCs w:val="24"/>
          <w:lang w:eastAsia="ko-KR"/>
        </w:rPr>
      </w:pPr>
    </w:p>
    <w:p w14:paraId="3B10D682" w14:textId="77777777" w:rsidR="00F630B3" w:rsidRPr="00F630B3" w:rsidRDefault="00F630B3" w:rsidP="00F630B3">
      <w:pPr>
        <w:spacing w:line="240" w:lineRule="auto"/>
        <w:jc w:val="center"/>
        <w:rPr>
          <w:rFonts w:eastAsia="Malgun Gothic" w:cs="Times New Roman"/>
          <w:szCs w:val="24"/>
          <w:lang w:eastAsia="ko-KR"/>
        </w:rPr>
      </w:pPr>
    </w:p>
    <w:p w14:paraId="1001FACB" w14:textId="77777777" w:rsidR="00F630B3" w:rsidRPr="00F630B3" w:rsidRDefault="00F630B3" w:rsidP="00F630B3">
      <w:pPr>
        <w:spacing w:line="240" w:lineRule="auto"/>
        <w:jc w:val="center"/>
        <w:rPr>
          <w:rFonts w:eastAsia="Malgun Gothic" w:cs="Times New Roman"/>
          <w:szCs w:val="24"/>
          <w:lang w:eastAsia="ko-KR"/>
        </w:rPr>
      </w:pPr>
    </w:p>
    <w:p w14:paraId="36FEEEC0" w14:textId="77777777" w:rsidR="00F630B3" w:rsidRPr="00F630B3" w:rsidRDefault="00F630B3" w:rsidP="00F630B3">
      <w:pPr>
        <w:spacing w:line="240" w:lineRule="auto"/>
        <w:jc w:val="center"/>
        <w:rPr>
          <w:rFonts w:eastAsia="Malgun Gothic" w:cs="Times New Roman"/>
          <w:szCs w:val="24"/>
          <w:lang w:eastAsia="ko-KR"/>
        </w:rPr>
      </w:pPr>
    </w:p>
    <w:p w14:paraId="6D1A0DA5" w14:textId="77777777" w:rsidR="00F630B3" w:rsidRPr="00F630B3" w:rsidRDefault="00F630B3" w:rsidP="00F630B3">
      <w:pPr>
        <w:spacing w:line="240" w:lineRule="auto"/>
        <w:jc w:val="center"/>
        <w:rPr>
          <w:rFonts w:eastAsia="Malgun Gothic" w:cs="Times New Roman"/>
          <w:szCs w:val="24"/>
          <w:lang w:eastAsia="ko-KR"/>
        </w:rPr>
      </w:pPr>
    </w:p>
    <w:p w14:paraId="1B8A613D" w14:textId="77777777" w:rsidR="00F630B3" w:rsidRPr="00F630B3" w:rsidRDefault="00F630B3" w:rsidP="00F630B3">
      <w:pPr>
        <w:spacing w:line="240" w:lineRule="auto"/>
        <w:jc w:val="center"/>
        <w:rPr>
          <w:rFonts w:eastAsia="Malgun Gothic" w:cs="Times New Roman"/>
          <w:szCs w:val="24"/>
          <w:lang w:eastAsia="ko-KR"/>
        </w:rPr>
      </w:pPr>
    </w:p>
    <w:p w14:paraId="26C12306"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Journal Article Critique of</w:t>
      </w:r>
    </w:p>
    <w:p w14:paraId="191682DD" w14:textId="14F1152A" w:rsidR="00F630B3" w:rsidRPr="00F630B3" w:rsidRDefault="000C07B5" w:rsidP="00F630B3">
      <w:pPr>
        <w:spacing w:line="240" w:lineRule="auto"/>
        <w:jc w:val="center"/>
        <w:rPr>
          <w:rFonts w:eastAsia="Malgun Gothic" w:cs="Times New Roman"/>
          <w:szCs w:val="24"/>
          <w:lang w:eastAsia="ko-KR"/>
        </w:rPr>
      </w:pPr>
      <w:bookmarkStart w:id="9" w:name="_Hlk69760762"/>
      <w:r w:rsidRPr="000C07B5">
        <w:rPr>
          <w:rFonts w:eastAsia="Malgun Gothic" w:cs="Times New Roman"/>
          <w:szCs w:val="24"/>
          <w:lang w:eastAsia="ko-KR"/>
        </w:rPr>
        <w:t>Wainwright, Geoffrey. “The Doctrine of the Trinity</w:t>
      </w:r>
      <w:r>
        <w:rPr>
          <w:rFonts w:eastAsia="Malgun Gothic" w:cs="Times New Roman"/>
          <w:szCs w:val="24"/>
          <w:lang w:eastAsia="ko-KR"/>
        </w:rPr>
        <w:t>:</w:t>
      </w:r>
      <w:r w:rsidRPr="000C07B5">
        <w:t xml:space="preserve"> </w:t>
      </w:r>
      <w:r w:rsidRPr="000C07B5">
        <w:rPr>
          <w:rFonts w:eastAsia="Malgun Gothic" w:cs="Times New Roman"/>
          <w:szCs w:val="24"/>
          <w:lang w:eastAsia="ko-KR"/>
        </w:rPr>
        <w:t xml:space="preserve">Where the Church Stands or Falls.” </w:t>
      </w:r>
      <w:r w:rsidRPr="000C07B5">
        <w:rPr>
          <w:rFonts w:eastAsia="Malgun Gothic" w:cs="Times New Roman"/>
          <w:i/>
          <w:iCs/>
          <w:szCs w:val="24"/>
          <w:lang w:eastAsia="ko-KR"/>
        </w:rPr>
        <w:t>Interpretation</w:t>
      </w:r>
      <w:r w:rsidRPr="000C07B5">
        <w:rPr>
          <w:rFonts w:eastAsia="Malgun Gothic" w:cs="Times New Roman"/>
          <w:szCs w:val="24"/>
          <w:lang w:eastAsia="ko-KR"/>
        </w:rPr>
        <w:t xml:space="preserve"> 45, no. 2 (1991): 117–132.</w:t>
      </w:r>
    </w:p>
    <w:bookmarkEnd w:id="9"/>
    <w:p w14:paraId="0FA721B8" w14:textId="77777777" w:rsidR="00F630B3" w:rsidRPr="00F630B3" w:rsidRDefault="00F630B3" w:rsidP="00F630B3">
      <w:pPr>
        <w:spacing w:line="240" w:lineRule="auto"/>
        <w:jc w:val="center"/>
        <w:rPr>
          <w:rFonts w:eastAsia="Malgun Gothic" w:cs="Times New Roman"/>
          <w:szCs w:val="24"/>
          <w:lang w:eastAsia="ko-KR"/>
        </w:rPr>
      </w:pPr>
    </w:p>
    <w:p w14:paraId="19C5439F" w14:textId="77777777" w:rsidR="00F630B3" w:rsidRPr="00F630B3" w:rsidRDefault="00F630B3" w:rsidP="00F630B3">
      <w:pPr>
        <w:spacing w:line="240" w:lineRule="auto"/>
        <w:jc w:val="center"/>
        <w:rPr>
          <w:rFonts w:eastAsia="Malgun Gothic" w:cs="Times New Roman"/>
          <w:szCs w:val="24"/>
          <w:lang w:eastAsia="ko-KR"/>
        </w:rPr>
      </w:pPr>
    </w:p>
    <w:p w14:paraId="3FBFF1F2" w14:textId="318CCB5E" w:rsidR="00F630B3" w:rsidRDefault="00F630B3" w:rsidP="00F630B3">
      <w:pPr>
        <w:spacing w:line="240" w:lineRule="auto"/>
        <w:jc w:val="center"/>
        <w:rPr>
          <w:rFonts w:eastAsia="Malgun Gothic" w:cs="Times New Roman"/>
          <w:szCs w:val="24"/>
          <w:lang w:eastAsia="ko-KR"/>
        </w:rPr>
      </w:pPr>
    </w:p>
    <w:p w14:paraId="0162A793" w14:textId="77777777" w:rsidR="000C07B5" w:rsidRPr="00F630B3" w:rsidRDefault="000C07B5" w:rsidP="00F630B3">
      <w:pPr>
        <w:spacing w:line="240" w:lineRule="auto"/>
        <w:jc w:val="center"/>
        <w:rPr>
          <w:rFonts w:eastAsia="Malgun Gothic" w:cs="Times New Roman"/>
          <w:szCs w:val="24"/>
          <w:lang w:eastAsia="ko-KR"/>
        </w:rPr>
      </w:pPr>
    </w:p>
    <w:p w14:paraId="41B199D2" w14:textId="77777777" w:rsidR="00F630B3" w:rsidRPr="00F630B3" w:rsidRDefault="00F630B3" w:rsidP="00F630B3">
      <w:pPr>
        <w:spacing w:line="240" w:lineRule="auto"/>
        <w:jc w:val="center"/>
        <w:rPr>
          <w:rFonts w:eastAsia="Malgun Gothic" w:cs="Times New Roman"/>
          <w:szCs w:val="24"/>
          <w:lang w:eastAsia="ko-KR"/>
        </w:rPr>
      </w:pPr>
    </w:p>
    <w:p w14:paraId="5566DD03"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Submitted to Dr Larry McDonald</w:t>
      </w:r>
    </w:p>
    <w:p w14:paraId="6639A01E" w14:textId="77777777" w:rsidR="00F630B3" w:rsidRPr="00F630B3" w:rsidRDefault="00F630B3" w:rsidP="00F630B3">
      <w:pPr>
        <w:spacing w:line="240" w:lineRule="auto"/>
        <w:jc w:val="center"/>
        <w:rPr>
          <w:rFonts w:eastAsia="Malgun Gothic" w:cs="Times New Roman"/>
          <w:szCs w:val="24"/>
          <w:lang w:eastAsia="ko-KR"/>
        </w:rPr>
      </w:pPr>
    </w:p>
    <w:p w14:paraId="4BC08B8B"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 xml:space="preserve">In partial fulfillment of the requirements for the completion of </w:t>
      </w:r>
    </w:p>
    <w:p w14:paraId="34B63BDF" w14:textId="77777777" w:rsidR="00F630B3" w:rsidRPr="00F630B3" w:rsidRDefault="00F630B3" w:rsidP="00F630B3">
      <w:pPr>
        <w:spacing w:line="240" w:lineRule="auto"/>
        <w:jc w:val="center"/>
        <w:rPr>
          <w:rFonts w:eastAsia="Malgun Gothic" w:cs="Times New Roman"/>
          <w:szCs w:val="24"/>
          <w:lang w:eastAsia="ko-KR"/>
        </w:rPr>
      </w:pPr>
    </w:p>
    <w:p w14:paraId="4E23B4D3" w14:textId="77777777" w:rsidR="00F630B3" w:rsidRPr="00F630B3" w:rsidRDefault="00F630B3" w:rsidP="00F630B3">
      <w:pPr>
        <w:spacing w:line="240" w:lineRule="auto"/>
        <w:jc w:val="center"/>
        <w:rPr>
          <w:rFonts w:eastAsia="Malgun Gothic" w:cs="Times New Roman"/>
          <w:szCs w:val="24"/>
          <w:lang w:eastAsia="ko-KR"/>
        </w:rPr>
      </w:pPr>
    </w:p>
    <w:p w14:paraId="4ADCE230" w14:textId="77777777" w:rsidR="00F630B3" w:rsidRPr="00F630B3" w:rsidRDefault="00F630B3" w:rsidP="00F630B3">
      <w:pPr>
        <w:spacing w:line="240" w:lineRule="auto"/>
        <w:jc w:val="center"/>
        <w:rPr>
          <w:rFonts w:eastAsia="Malgun Gothic" w:cs="Times New Roman"/>
          <w:szCs w:val="24"/>
          <w:lang w:eastAsia="ko-KR"/>
        </w:rPr>
      </w:pPr>
    </w:p>
    <w:p w14:paraId="16DE159F" w14:textId="77777777" w:rsidR="00F630B3" w:rsidRPr="00F630B3" w:rsidRDefault="00F630B3" w:rsidP="00F630B3">
      <w:pPr>
        <w:spacing w:line="240" w:lineRule="auto"/>
        <w:jc w:val="center"/>
        <w:rPr>
          <w:rFonts w:eastAsia="Malgun Gothic" w:cs="Times New Roman"/>
          <w:szCs w:val="24"/>
          <w:lang w:eastAsia="ko-KR"/>
        </w:rPr>
      </w:pPr>
    </w:p>
    <w:p w14:paraId="60F0217E"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THEO 525 – D1</w:t>
      </w:r>
    </w:p>
    <w:p w14:paraId="7741C978" w14:textId="77777777" w:rsidR="00F630B3" w:rsidRPr="00F630B3" w:rsidRDefault="00F630B3" w:rsidP="00F630B3">
      <w:pPr>
        <w:spacing w:line="240" w:lineRule="auto"/>
        <w:jc w:val="center"/>
        <w:rPr>
          <w:rFonts w:eastAsia="Malgun Gothic" w:cs="Times New Roman"/>
          <w:szCs w:val="24"/>
          <w:lang w:eastAsia="ko-KR"/>
        </w:rPr>
      </w:pPr>
    </w:p>
    <w:p w14:paraId="31DAF39C"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Systematic Theology I</w:t>
      </w:r>
    </w:p>
    <w:p w14:paraId="37C07A9E" w14:textId="77777777" w:rsidR="00F630B3" w:rsidRPr="00F630B3" w:rsidRDefault="00F630B3" w:rsidP="00F630B3">
      <w:pPr>
        <w:spacing w:line="240" w:lineRule="auto"/>
        <w:rPr>
          <w:rFonts w:eastAsia="Malgun Gothic" w:cs="Times New Roman"/>
          <w:szCs w:val="24"/>
          <w:lang w:eastAsia="ko-KR"/>
        </w:rPr>
      </w:pPr>
    </w:p>
    <w:p w14:paraId="6E2CDC28" w14:textId="77777777" w:rsidR="00F630B3" w:rsidRPr="00F630B3" w:rsidRDefault="00F630B3" w:rsidP="00F630B3">
      <w:pPr>
        <w:spacing w:line="240" w:lineRule="auto"/>
        <w:jc w:val="center"/>
        <w:rPr>
          <w:rFonts w:eastAsia="Malgun Gothic" w:cs="Times New Roman"/>
          <w:szCs w:val="24"/>
          <w:lang w:eastAsia="ko-KR"/>
        </w:rPr>
      </w:pPr>
    </w:p>
    <w:p w14:paraId="4A06E5CA" w14:textId="77777777" w:rsidR="00F630B3" w:rsidRPr="00F630B3" w:rsidRDefault="00F630B3" w:rsidP="00F630B3">
      <w:pPr>
        <w:spacing w:line="240" w:lineRule="auto"/>
        <w:jc w:val="center"/>
        <w:rPr>
          <w:rFonts w:eastAsia="Malgun Gothic" w:cs="Times New Roman"/>
          <w:szCs w:val="24"/>
          <w:lang w:eastAsia="ko-KR"/>
        </w:rPr>
      </w:pPr>
    </w:p>
    <w:p w14:paraId="05AA4895" w14:textId="77777777" w:rsidR="00F630B3" w:rsidRPr="00F630B3" w:rsidRDefault="00F630B3" w:rsidP="00F630B3">
      <w:pPr>
        <w:spacing w:line="240" w:lineRule="auto"/>
        <w:jc w:val="center"/>
        <w:rPr>
          <w:rFonts w:eastAsia="Malgun Gothic" w:cs="Times New Roman"/>
          <w:szCs w:val="24"/>
          <w:lang w:eastAsia="ko-KR"/>
        </w:rPr>
      </w:pPr>
    </w:p>
    <w:p w14:paraId="70AF3991" w14:textId="77777777" w:rsidR="00F630B3" w:rsidRPr="00F630B3" w:rsidRDefault="00F630B3" w:rsidP="00F630B3">
      <w:pPr>
        <w:spacing w:line="240" w:lineRule="auto"/>
        <w:jc w:val="center"/>
        <w:rPr>
          <w:rFonts w:eastAsia="Malgun Gothic" w:cs="Times New Roman"/>
          <w:szCs w:val="24"/>
          <w:lang w:eastAsia="ko-KR"/>
        </w:rPr>
      </w:pPr>
    </w:p>
    <w:p w14:paraId="0D406DC9"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by</w:t>
      </w:r>
    </w:p>
    <w:p w14:paraId="7BC0601A" w14:textId="77777777" w:rsidR="00F630B3" w:rsidRPr="00F630B3" w:rsidRDefault="00F630B3" w:rsidP="00F630B3">
      <w:pPr>
        <w:spacing w:line="240" w:lineRule="auto"/>
        <w:jc w:val="center"/>
        <w:rPr>
          <w:rFonts w:eastAsia="Malgun Gothic" w:cs="Times New Roman"/>
          <w:szCs w:val="24"/>
          <w:lang w:eastAsia="ko-KR"/>
        </w:rPr>
      </w:pPr>
    </w:p>
    <w:p w14:paraId="1E33CC78"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Kingsley O. Nyakagwa</w:t>
      </w:r>
    </w:p>
    <w:p w14:paraId="4437D75C" w14:textId="77777777" w:rsidR="00F630B3" w:rsidRPr="00F630B3" w:rsidRDefault="00F630B3" w:rsidP="00F630B3">
      <w:pPr>
        <w:spacing w:line="240" w:lineRule="auto"/>
        <w:jc w:val="center"/>
        <w:rPr>
          <w:rFonts w:eastAsia="Malgun Gothic" w:cs="Times New Roman"/>
          <w:szCs w:val="24"/>
          <w:lang w:eastAsia="ko-KR"/>
        </w:rPr>
      </w:pPr>
    </w:p>
    <w:p w14:paraId="2D4DAE01" w14:textId="582E8984"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 xml:space="preserve">April </w:t>
      </w:r>
      <w:r w:rsidR="000C07B5">
        <w:rPr>
          <w:rFonts w:eastAsia="Malgun Gothic" w:cs="Times New Roman"/>
          <w:szCs w:val="24"/>
          <w:lang w:eastAsia="ko-KR"/>
        </w:rPr>
        <w:t>25</w:t>
      </w:r>
      <w:r w:rsidRPr="00F630B3">
        <w:rPr>
          <w:rFonts w:eastAsia="Malgun Gothic" w:cs="Times New Roman"/>
          <w:szCs w:val="24"/>
          <w:lang w:eastAsia="ko-KR"/>
        </w:rPr>
        <w:t>, 2021</w:t>
      </w:r>
    </w:p>
    <w:p w14:paraId="18191E14" w14:textId="791AA47F" w:rsidR="00F630B3" w:rsidRDefault="00F630B3" w:rsidP="00F630B3">
      <w:pPr>
        <w:spacing w:line="240" w:lineRule="auto"/>
        <w:jc w:val="center"/>
        <w:rPr>
          <w:rFonts w:eastAsia="Malgun Gothic" w:cs="Times New Roman"/>
          <w:szCs w:val="24"/>
          <w:lang w:eastAsia="ko-KR"/>
        </w:rPr>
      </w:pPr>
    </w:p>
    <w:p w14:paraId="0E259EAA" w14:textId="77777777" w:rsidR="000C07B5" w:rsidRPr="00F630B3" w:rsidRDefault="000C07B5" w:rsidP="00F630B3">
      <w:pPr>
        <w:spacing w:line="240" w:lineRule="auto"/>
        <w:jc w:val="center"/>
        <w:rPr>
          <w:rFonts w:eastAsia="Malgun Gothic" w:cs="Times New Roman"/>
          <w:szCs w:val="24"/>
          <w:lang w:eastAsia="ko-KR"/>
        </w:rPr>
      </w:pPr>
    </w:p>
    <w:bookmarkStart w:id="10" w:name="_Toc70186546" w:displacedByCustomXml="next"/>
    <w:bookmarkStart w:id="11" w:name="_Toc70186619" w:displacedByCustomXml="next"/>
    <w:sdt>
      <w:sdtPr>
        <w:rPr>
          <w:rFonts w:eastAsiaTheme="minorHAnsi" w:cstheme="minorBidi"/>
          <w:bCs/>
          <w:color w:val="auto"/>
          <w:szCs w:val="22"/>
        </w:rPr>
        <w:id w:val="-2119129730"/>
        <w:docPartObj>
          <w:docPartGallery w:val="Table of Contents"/>
          <w:docPartUnique/>
        </w:docPartObj>
      </w:sdtPr>
      <w:sdtEndPr>
        <w:rPr>
          <w:rFonts w:cs="Times New Roman"/>
          <w:b w:val="0"/>
          <w:bCs w:val="0"/>
          <w:noProof/>
          <w:szCs w:val="24"/>
        </w:rPr>
      </w:sdtEndPr>
      <w:sdtContent>
        <w:p w14:paraId="276BE4E6" w14:textId="77777777" w:rsidR="00691463" w:rsidRDefault="00DF7AA0" w:rsidP="0081466C">
          <w:pPr>
            <w:pStyle w:val="Heading1"/>
            <w:rPr>
              <w:noProof/>
            </w:rPr>
          </w:pPr>
          <w:r w:rsidRPr="00ED04CE">
            <w:t>Contents</w:t>
          </w:r>
          <w:bookmarkEnd w:id="0"/>
          <w:bookmarkEnd w:id="1"/>
          <w:bookmarkEnd w:id="2"/>
          <w:bookmarkEnd w:id="3"/>
          <w:bookmarkEnd w:id="4"/>
          <w:bookmarkEnd w:id="5"/>
          <w:bookmarkEnd w:id="6"/>
          <w:bookmarkEnd w:id="7"/>
          <w:bookmarkEnd w:id="8"/>
          <w:bookmarkEnd w:id="11"/>
          <w:r w:rsidRPr="00872F9C">
            <w:rPr>
              <w:rFonts w:eastAsia="Century Gothic"/>
            </w:rPr>
            <w:fldChar w:fldCharType="begin"/>
          </w:r>
          <w:r w:rsidRPr="00ED04CE">
            <w:instrText xml:space="preserve"> TOC \o "1-3" \h \z \u </w:instrText>
          </w:r>
          <w:r w:rsidRPr="00872F9C">
            <w:rPr>
              <w:rFonts w:eastAsia="Century Gothic"/>
            </w:rPr>
            <w:fldChar w:fldCharType="separate"/>
          </w:r>
        </w:p>
        <w:bookmarkEnd w:id="10"/>
        <w:p w14:paraId="336BA9C5" w14:textId="6654FC5D" w:rsidR="00691463" w:rsidRPr="00691463" w:rsidRDefault="00691463">
          <w:pPr>
            <w:pStyle w:val="TOC1"/>
            <w:tabs>
              <w:tab w:val="right" w:leader="dot" w:pos="9350"/>
            </w:tabs>
            <w:rPr>
              <w:rFonts w:ascii="Times New Roman" w:eastAsiaTheme="minorEastAsia" w:hAnsi="Times New Roman" w:cs="Times New Roman"/>
              <w:noProof/>
              <w:sz w:val="22"/>
              <w:szCs w:val="22"/>
            </w:rPr>
          </w:pPr>
          <w:r w:rsidRPr="00691463">
            <w:rPr>
              <w:rStyle w:val="Hyperlink"/>
              <w:rFonts w:ascii="Times New Roman" w:hAnsi="Times New Roman" w:cs="Times New Roman"/>
              <w:noProof/>
            </w:rPr>
            <w:fldChar w:fldCharType="begin"/>
          </w:r>
          <w:r w:rsidRPr="00691463">
            <w:rPr>
              <w:rStyle w:val="Hyperlink"/>
              <w:rFonts w:ascii="Times New Roman" w:hAnsi="Times New Roman" w:cs="Times New Roman"/>
              <w:noProof/>
            </w:rPr>
            <w:instrText xml:space="preserve"> </w:instrText>
          </w:r>
          <w:r w:rsidRPr="00691463">
            <w:rPr>
              <w:rFonts w:ascii="Times New Roman" w:hAnsi="Times New Roman" w:cs="Times New Roman"/>
              <w:noProof/>
            </w:rPr>
            <w:instrText>HYPERLINK \l "_Toc70186620"</w:instrText>
          </w:r>
          <w:r w:rsidRPr="00691463">
            <w:rPr>
              <w:rStyle w:val="Hyperlink"/>
              <w:rFonts w:ascii="Times New Roman" w:hAnsi="Times New Roman" w:cs="Times New Roman"/>
              <w:noProof/>
            </w:rPr>
            <w:instrText xml:space="preserve"> </w:instrText>
          </w:r>
          <w:r w:rsidRPr="00691463">
            <w:rPr>
              <w:rStyle w:val="Hyperlink"/>
              <w:rFonts w:ascii="Times New Roman" w:hAnsi="Times New Roman" w:cs="Times New Roman"/>
              <w:noProof/>
            </w:rPr>
            <w:fldChar w:fldCharType="separate"/>
          </w:r>
          <w:r w:rsidRPr="00691463">
            <w:rPr>
              <w:rStyle w:val="Hyperlink"/>
              <w:rFonts w:ascii="Times New Roman" w:hAnsi="Times New Roman" w:cs="Times New Roman"/>
              <w:b/>
              <w:noProof/>
            </w:rPr>
            <w:t>Introduction</w:t>
          </w:r>
          <w:r w:rsidRPr="00691463">
            <w:rPr>
              <w:rFonts w:ascii="Times New Roman" w:hAnsi="Times New Roman" w:cs="Times New Roman"/>
              <w:noProof/>
              <w:webHidden/>
            </w:rPr>
            <w:tab/>
          </w:r>
          <w:r w:rsidRPr="00691463">
            <w:rPr>
              <w:rFonts w:ascii="Times New Roman" w:hAnsi="Times New Roman" w:cs="Times New Roman"/>
              <w:noProof/>
              <w:webHidden/>
            </w:rPr>
            <w:fldChar w:fldCharType="begin"/>
          </w:r>
          <w:r w:rsidRPr="00691463">
            <w:rPr>
              <w:rFonts w:ascii="Times New Roman" w:hAnsi="Times New Roman" w:cs="Times New Roman"/>
              <w:noProof/>
              <w:webHidden/>
            </w:rPr>
            <w:instrText xml:space="preserve"> PAGEREF _Toc70186620 \h </w:instrText>
          </w:r>
          <w:r w:rsidRPr="00691463">
            <w:rPr>
              <w:rFonts w:ascii="Times New Roman" w:hAnsi="Times New Roman" w:cs="Times New Roman"/>
              <w:noProof/>
              <w:webHidden/>
            </w:rPr>
          </w:r>
          <w:r w:rsidRPr="00691463">
            <w:rPr>
              <w:rFonts w:ascii="Times New Roman" w:hAnsi="Times New Roman" w:cs="Times New Roman"/>
              <w:noProof/>
              <w:webHidden/>
            </w:rPr>
            <w:fldChar w:fldCharType="separate"/>
          </w:r>
          <w:r w:rsidRPr="00691463">
            <w:rPr>
              <w:rFonts w:ascii="Times New Roman" w:hAnsi="Times New Roman" w:cs="Times New Roman"/>
              <w:noProof/>
              <w:webHidden/>
            </w:rPr>
            <w:t>1</w:t>
          </w:r>
          <w:r w:rsidRPr="00691463">
            <w:rPr>
              <w:rFonts w:ascii="Times New Roman" w:hAnsi="Times New Roman" w:cs="Times New Roman"/>
              <w:noProof/>
              <w:webHidden/>
            </w:rPr>
            <w:fldChar w:fldCharType="end"/>
          </w:r>
          <w:r w:rsidRPr="00691463">
            <w:rPr>
              <w:rStyle w:val="Hyperlink"/>
              <w:rFonts w:ascii="Times New Roman" w:hAnsi="Times New Roman" w:cs="Times New Roman"/>
              <w:noProof/>
            </w:rPr>
            <w:fldChar w:fldCharType="end"/>
          </w:r>
        </w:p>
        <w:p w14:paraId="445CB678" w14:textId="4B1005FA" w:rsidR="00691463" w:rsidRPr="00691463" w:rsidRDefault="00A01975">
          <w:pPr>
            <w:pStyle w:val="TOC1"/>
            <w:tabs>
              <w:tab w:val="right" w:leader="dot" w:pos="9350"/>
            </w:tabs>
            <w:rPr>
              <w:rFonts w:ascii="Times New Roman" w:eastAsiaTheme="minorEastAsia" w:hAnsi="Times New Roman" w:cs="Times New Roman"/>
              <w:noProof/>
              <w:sz w:val="22"/>
              <w:szCs w:val="22"/>
            </w:rPr>
          </w:pPr>
          <w:hyperlink w:anchor="_Toc70186621" w:history="1">
            <w:r w:rsidR="00691463" w:rsidRPr="00691463">
              <w:rPr>
                <w:rStyle w:val="Hyperlink"/>
                <w:rFonts w:ascii="Times New Roman" w:hAnsi="Times New Roman" w:cs="Times New Roman"/>
                <w:b/>
                <w:noProof/>
              </w:rPr>
              <w:t>Brief</w:t>
            </w:r>
            <w:r w:rsidR="00691463" w:rsidRPr="00691463">
              <w:rPr>
                <w:rStyle w:val="Hyperlink"/>
                <w:rFonts w:ascii="Times New Roman" w:hAnsi="Times New Roman" w:cs="Times New Roman"/>
                <w:noProof/>
              </w:rPr>
              <w:t xml:space="preserve"> </w:t>
            </w:r>
            <w:r w:rsidR="00691463" w:rsidRPr="00691463">
              <w:rPr>
                <w:rStyle w:val="Hyperlink"/>
                <w:rFonts w:ascii="Times New Roman" w:hAnsi="Times New Roman" w:cs="Times New Roman"/>
                <w:b/>
                <w:noProof/>
              </w:rPr>
              <w:t>Summary</w:t>
            </w:r>
            <w:r w:rsidR="00691463" w:rsidRPr="00691463">
              <w:rPr>
                <w:rFonts w:ascii="Times New Roman" w:hAnsi="Times New Roman" w:cs="Times New Roman"/>
                <w:noProof/>
                <w:webHidden/>
              </w:rPr>
              <w:tab/>
            </w:r>
            <w:r w:rsidR="00691463" w:rsidRPr="00691463">
              <w:rPr>
                <w:rFonts w:ascii="Times New Roman" w:hAnsi="Times New Roman" w:cs="Times New Roman"/>
                <w:noProof/>
                <w:webHidden/>
              </w:rPr>
              <w:fldChar w:fldCharType="begin"/>
            </w:r>
            <w:r w:rsidR="00691463" w:rsidRPr="00691463">
              <w:rPr>
                <w:rFonts w:ascii="Times New Roman" w:hAnsi="Times New Roman" w:cs="Times New Roman"/>
                <w:noProof/>
                <w:webHidden/>
              </w:rPr>
              <w:instrText xml:space="preserve"> PAGEREF _Toc70186621 \h </w:instrText>
            </w:r>
            <w:r w:rsidR="00691463" w:rsidRPr="00691463">
              <w:rPr>
                <w:rFonts w:ascii="Times New Roman" w:hAnsi="Times New Roman" w:cs="Times New Roman"/>
                <w:noProof/>
                <w:webHidden/>
              </w:rPr>
            </w:r>
            <w:r w:rsidR="00691463" w:rsidRPr="00691463">
              <w:rPr>
                <w:rFonts w:ascii="Times New Roman" w:hAnsi="Times New Roman" w:cs="Times New Roman"/>
                <w:noProof/>
                <w:webHidden/>
              </w:rPr>
              <w:fldChar w:fldCharType="separate"/>
            </w:r>
            <w:r w:rsidR="00691463" w:rsidRPr="00691463">
              <w:rPr>
                <w:rFonts w:ascii="Times New Roman" w:hAnsi="Times New Roman" w:cs="Times New Roman"/>
                <w:noProof/>
                <w:webHidden/>
              </w:rPr>
              <w:t>1</w:t>
            </w:r>
            <w:r w:rsidR="00691463" w:rsidRPr="00691463">
              <w:rPr>
                <w:rFonts w:ascii="Times New Roman" w:hAnsi="Times New Roman" w:cs="Times New Roman"/>
                <w:noProof/>
                <w:webHidden/>
              </w:rPr>
              <w:fldChar w:fldCharType="end"/>
            </w:r>
          </w:hyperlink>
        </w:p>
        <w:p w14:paraId="33D0F382" w14:textId="6DDC62FF" w:rsidR="00691463" w:rsidRPr="00691463" w:rsidRDefault="00A01975">
          <w:pPr>
            <w:pStyle w:val="TOC1"/>
            <w:tabs>
              <w:tab w:val="right" w:leader="dot" w:pos="9350"/>
            </w:tabs>
            <w:rPr>
              <w:rFonts w:ascii="Times New Roman" w:eastAsiaTheme="minorEastAsia" w:hAnsi="Times New Roman" w:cs="Times New Roman"/>
              <w:noProof/>
              <w:sz w:val="22"/>
              <w:szCs w:val="22"/>
            </w:rPr>
          </w:pPr>
          <w:hyperlink w:anchor="_Toc70186622" w:history="1">
            <w:r w:rsidR="00691463" w:rsidRPr="00691463">
              <w:rPr>
                <w:rStyle w:val="Hyperlink"/>
                <w:rFonts w:ascii="Times New Roman" w:hAnsi="Times New Roman" w:cs="Times New Roman"/>
                <w:b/>
                <w:noProof/>
              </w:rPr>
              <w:t>Critical Interaction</w:t>
            </w:r>
            <w:r w:rsidR="00691463" w:rsidRPr="00691463">
              <w:rPr>
                <w:rFonts w:ascii="Times New Roman" w:hAnsi="Times New Roman" w:cs="Times New Roman"/>
                <w:noProof/>
                <w:webHidden/>
              </w:rPr>
              <w:tab/>
            </w:r>
            <w:r w:rsidR="00691463" w:rsidRPr="00691463">
              <w:rPr>
                <w:rFonts w:ascii="Times New Roman" w:hAnsi="Times New Roman" w:cs="Times New Roman"/>
                <w:noProof/>
                <w:webHidden/>
              </w:rPr>
              <w:fldChar w:fldCharType="begin"/>
            </w:r>
            <w:r w:rsidR="00691463" w:rsidRPr="00691463">
              <w:rPr>
                <w:rFonts w:ascii="Times New Roman" w:hAnsi="Times New Roman" w:cs="Times New Roman"/>
                <w:noProof/>
                <w:webHidden/>
              </w:rPr>
              <w:instrText xml:space="preserve"> PAGEREF _Toc70186622 \h </w:instrText>
            </w:r>
            <w:r w:rsidR="00691463" w:rsidRPr="00691463">
              <w:rPr>
                <w:rFonts w:ascii="Times New Roman" w:hAnsi="Times New Roman" w:cs="Times New Roman"/>
                <w:noProof/>
                <w:webHidden/>
              </w:rPr>
            </w:r>
            <w:r w:rsidR="00691463" w:rsidRPr="00691463">
              <w:rPr>
                <w:rFonts w:ascii="Times New Roman" w:hAnsi="Times New Roman" w:cs="Times New Roman"/>
                <w:noProof/>
                <w:webHidden/>
              </w:rPr>
              <w:fldChar w:fldCharType="separate"/>
            </w:r>
            <w:r w:rsidR="00691463" w:rsidRPr="00691463">
              <w:rPr>
                <w:rFonts w:ascii="Times New Roman" w:hAnsi="Times New Roman" w:cs="Times New Roman"/>
                <w:noProof/>
                <w:webHidden/>
              </w:rPr>
              <w:t>2</w:t>
            </w:r>
            <w:r w:rsidR="00691463" w:rsidRPr="00691463">
              <w:rPr>
                <w:rFonts w:ascii="Times New Roman" w:hAnsi="Times New Roman" w:cs="Times New Roman"/>
                <w:noProof/>
                <w:webHidden/>
              </w:rPr>
              <w:fldChar w:fldCharType="end"/>
            </w:r>
          </w:hyperlink>
        </w:p>
        <w:p w14:paraId="721A9ADD" w14:textId="59F8EC74" w:rsidR="00691463" w:rsidRPr="00691463" w:rsidRDefault="00A01975">
          <w:pPr>
            <w:pStyle w:val="TOC1"/>
            <w:tabs>
              <w:tab w:val="right" w:leader="dot" w:pos="9350"/>
            </w:tabs>
            <w:rPr>
              <w:rFonts w:ascii="Times New Roman" w:eastAsiaTheme="minorEastAsia" w:hAnsi="Times New Roman" w:cs="Times New Roman"/>
              <w:noProof/>
              <w:sz w:val="22"/>
              <w:szCs w:val="22"/>
            </w:rPr>
          </w:pPr>
          <w:hyperlink w:anchor="_Toc70186623" w:history="1">
            <w:r w:rsidR="00691463" w:rsidRPr="00691463">
              <w:rPr>
                <w:rStyle w:val="Hyperlink"/>
                <w:rFonts w:ascii="Times New Roman" w:hAnsi="Times New Roman" w:cs="Times New Roman"/>
                <w:b/>
                <w:noProof/>
              </w:rPr>
              <w:t>Conclusion</w:t>
            </w:r>
            <w:r w:rsidR="00691463" w:rsidRPr="00691463">
              <w:rPr>
                <w:rFonts w:ascii="Times New Roman" w:hAnsi="Times New Roman" w:cs="Times New Roman"/>
                <w:noProof/>
                <w:webHidden/>
              </w:rPr>
              <w:tab/>
            </w:r>
            <w:r w:rsidR="00691463" w:rsidRPr="00691463">
              <w:rPr>
                <w:rFonts w:ascii="Times New Roman" w:hAnsi="Times New Roman" w:cs="Times New Roman"/>
                <w:noProof/>
                <w:webHidden/>
              </w:rPr>
              <w:fldChar w:fldCharType="begin"/>
            </w:r>
            <w:r w:rsidR="00691463" w:rsidRPr="00691463">
              <w:rPr>
                <w:rFonts w:ascii="Times New Roman" w:hAnsi="Times New Roman" w:cs="Times New Roman"/>
                <w:noProof/>
                <w:webHidden/>
              </w:rPr>
              <w:instrText xml:space="preserve"> PAGEREF _Toc70186623 \h </w:instrText>
            </w:r>
            <w:r w:rsidR="00691463" w:rsidRPr="00691463">
              <w:rPr>
                <w:rFonts w:ascii="Times New Roman" w:hAnsi="Times New Roman" w:cs="Times New Roman"/>
                <w:noProof/>
                <w:webHidden/>
              </w:rPr>
            </w:r>
            <w:r w:rsidR="00691463" w:rsidRPr="00691463">
              <w:rPr>
                <w:rFonts w:ascii="Times New Roman" w:hAnsi="Times New Roman" w:cs="Times New Roman"/>
                <w:noProof/>
                <w:webHidden/>
              </w:rPr>
              <w:fldChar w:fldCharType="separate"/>
            </w:r>
            <w:r w:rsidR="00691463" w:rsidRPr="00691463">
              <w:rPr>
                <w:rFonts w:ascii="Times New Roman" w:hAnsi="Times New Roman" w:cs="Times New Roman"/>
                <w:noProof/>
                <w:webHidden/>
              </w:rPr>
              <w:t>3</w:t>
            </w:r>
            <w:r w:rsidR="00691463" w:rsidRPr="00691463">
              <w:rPr>
                <w:rFonts w:ascii="Times New Roman" w:hAnsi="Times New Roman" w:cs="Times New Roman"/>
                <w:noProof/>
                <w:webHidden/>
              </w:rPr>
              <w:fldChar w:fldCharType="end"/>
            </w:r>
          </w:hyperlink>
        </w:p>
        <w:p w14:paraId="01B40BEC" w14:textId="5177FD75" w:rsidR="00691463" w:rsidRPr="00691463" w:rsidRDefault="00A01975">
          <w:pPr>
            <w:pStyle w:val="TOC1"/>
            <w:tabs>
              <w:tab w:val="right" w:leader="dot" w:pos="9350"/>
            </w:tabs>
            <w:rPr>
              <w:rFonts w:ascii="Times New Roman" w:eastAsiaTheme="minorEastAsia" w:hAnsi="Times New Roman" w:cs="Times New Roman"/>
              <w:noProof/>
              <w:sz w:val="22"/>
              <w:szCs w:val="22"/>
            </w:rPr>
          </w:pPr>
          <w:hyperlink w:anchor="_Toc70186624" w:history="1">
            <w:r w:rsidR="00691463" w:rsidRPr="00691463">
              <w:rPr>
                <w:rStyle w:val="Hyperlink"/>
                <w:rFonts w:ascii="Times New Roman" w:hAnsi="Times New Roman" w:cs="Times New Roman"/>
                <w:b/>
                <w:noProof/>
              </w:rPr>
              <w:t>Bibliography</w:t>
            </w:r>
            <w:r w:rsidR="00691463" w:rsidRPr="00691463">
              <w:rPr>
                <w:rFonts w:ascii="Times New Roman" w:hAnsi="Times New Roman" w:cs="Times New Roman"/>
                <w:noProof/>
                <w:webHidden/>
              </w:rPr>
              <w:tab/>
            </w:r>
            <w:r w:rsidR="00691463" w:rsidRPr="00691463">
              <w:rPr>
                <w:rFonts w:ascii="Times New Roman" w:hAnsi="Times New Roman" w:cs="Times New Roman"/>
                <w:noProof/>
                <w:webHidden/>
              </w:rPr>
              <w:fldChar w:fldCharType="begin"/>
            </w:r>
            <w:r w:rsidR="00691463" w:rsidRPr="00691463">
              <w:rPr>
                <w:rFonts w:ascii="Times New Roman" w:hAnsi="Times New Roman" w:cs="Times New Roman"/>
                <w:noProof/>
                <w:webHidden/>
              </w:rPr>
              <w:instrText xml:space="preserve"> PAGEREF _Toc70186624 \h </w:instrText>
            </w:r>
            <w:r w:rsidR="00691463" w:rsidRPr="00691463">
              <w:rPr>
                <w:rFonts w:ascii="Times New Roman" w:hAnsi="Times New Roman" w:cs="Times New Roman"/>
                <w:noProof/>
                <w:webHidden/>
              </w:rPr>
            </w:r>
            <w:r w:rsidR="00691463" w:rsidRPr="00691463">
              <w:rPr>
                <w:rFonts w:ascii="Times New Roman" w:hAnsi="Times New Roman" w:cs="Times New Roman"/>
                <w:noProof/>
                <w:webHidden/>
              </w:rPr>
              <w:fldChar w:fldCharType="separate"/>
            </w:r>
            <w:r w:rsidR="00691463" w:rsidRPr="00691463">
              <w:rPr>
                <w:rFonts w:ascii="Times New Roman" w:hAnsi="Times New Roman" w:cs="Times New Roman"/>
                <w:noProof/>
                <w:webHidden/>
              </w:rPr>
              <w:t>4</w:t>
            </w:r>
            <w:r w:rsidR="00691463" w:rsidRPr="00691463">
              <w:rPr>
                <w:rFonts w:ascii="Times New Roman" w:hAnsi="Times New Roman" w:cs="Times New Roman"/>
                <w:noProof/>
                <w:webHidden/>
              </w:rPr>
              <w:fldChar w:fldCharType="end"/>
            </w:r>
          </w:hyperlink>
        </w:p>
        <w:p w14:paraId="5CAA2CA2" w14:textId="77777777" w:rsidR="00DF7AA0" w:rsidRPr="00872F9C" w:rsidRDefault="00DF7AA0" w:rsidP="00DF7AA0">
          <w:pPr>
            <w:rPr>
              <w:rFonts w:cs="Times New Roman"/>
              <w:szCs w:val="24"/>
            </w:rPr>
          </w:pPr>
          <w:r w:rsidRPr="00872F9C">
            <w:rPr>
              <w:rFonts w:cs="Times New Roman"/>
              <w:b/>
              <w:bCs/>
              <w:noProof/>
              <w:szCs w:val="24"/>
            </w:rPr>
            <w:fldChar w:fldCharType="end"/>
          </w:r>
        </w:p>
      </w:sdtContent>
    </w:sdt>
    <w:p w14:paraId="077F3532" w14:textId="77777777" w:rsidR="00DF7AA0" w:rsidRPr="00872F9C" w:rsidRDefault="00DF7AA0" w:rsidP="00DF7AA0">
      <w:pPr>
        <w:spacing w:after="200"/>
        <w:rPr>
          <w:rFonts w:cs="Times New Roman"/>
          <w:szCs w:val="24"/>
        </w:rPr>
        <w:sectPr w:rsidR="00DF7AA0" w:rsidRPr="00872F9C"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11FC7F6E" w14:textId="6C3D36E4" w:rsidR="00F630B3" w:rsidRDefault="00F630B3" w:rsidP="0081466C">
      <w:pPr>
        <w:pStyle w:val="Heading1"/>
      </w:pPr>
      <w:bookmarkStart w:id="12" w:name="_Toc70186620"/>
      <w:r w:rsidRPr="00ED04CE">
        <w:lastRenderedPageBreak/>
        <w:t>Introduction</w:t>
      </w:r>
      <w:bookmarkEnd w:id="12"/>
    </w:p>
    <w:p w14:paraId="75517D1E" w14:textId="77777777" w:rsidR="008C5973" w:rsidRDefault="008C5973" w:rsidP="0081466C">
      <w:pPr>
        <w:pStyle w:val="NormalWeb"/>
        <w:spacing w:before="0" w:beforeAutospacing="0" w:after="0" w:afterAutospacing="0" w:line="480" w:lineRule="auto"/>
        <w:ind w:firstLine="720"/>
        <w:rPr>
          <w:color w:val="0E101A"/>
        </w:rPr>
      </w:pPr>
      <w:r>
        <w:rPr>
          <w:color w:val="0E101A"/>
        </w:rPr>
        <w:t>The struggle over a traditional trinitarian doctrine has never been more desperate. With the proliferation of philosophies, religions, and perceptions, Christianity’s uniqueness enshrined in the doctrine of Trinity has become the bull’s eye of criticism. In the article, “The Doctrine of the Trinity: Where the Church Stands or Falls,” Geoffrey Wainwright examines various criticisms of the doctrine of Trinity and explores how the said criticisms can stimulate churches in their revival of the doctrine. While wainwright produces formidable counterarguments against feminist, deistic, and religionist positions, he fails to convincingly articulate how the criticisms can stimulate revival in the church concerning the doctrine of the trinity.</w:t>
      </w:r>
    </w:p>
    <w:p w14:paraId="5239CBB4" w14:textId="77777777" w:rsidR="008C5973" w:rsidRDefault="008C5973" w:rsidP="0081466C">
      <w:pPr>
        <w:pStyle w:val="Heading1"/>
      </w:pPr>
      <w:r>
        <w:t>Brief Summary</w:t>
      </w:r>
    </w:p>
    <w:p w14:paraId="0E489023" w14:textId="241D0DC8" w:rsidR="008C5973" w:rsidRDefault="008C5973" w:rsidP="0081466C">
      <w:pPr>
        <w:pStyle w:val="NormalWeb"/>
        <w:spacing w:before="0" w:beforeAutospacing="0" w:after="0" w:afterAutospacing="0" w:line="480" w:lineRule="auto"/>
        <w:ind w:firstLine="720"/>
        <w:rPr>
          <w:color w:val="0E101A"/>
        </w:rPr>
      </w:pPr>
      <w:r>
        <w:rPr>
          <w:color w:val="0E101A"/>
        </w:rPr>
        <w:t>Geoffrey Wainwright’s thesis states: In the struggle over traditional trinitarian doctrine, criticism from feminist, deistic, and religionist quarters can stimulate the churches in their revival of this soteriologically vital pattern of the Christian faith.</w:t>
      </w:r>
      <w:r w:rsidR="0081466C" w:rsidRPr="0081466C">
        <w:rPr>
          <w:rStyle w:val="FootnoteReference"/>
        </w:rPr>
        <w:t xml:space="preserve"> </w:t>
      </w:r>
      <w:r w:rsidR="0081466C">
        <w:rPr>
          <w:rStyle w:val="FootnoteReference"/>
        </w:rPr>
        <w:footnoteReference w:id="1"/>
      </w:r>
      <w:r>
        <w:rPr>
          <w:color w:val="0E101A"/>
        </w:rPr>
        <w:t> To defend this thesis, he discusses the said criticisms and attaches counterarguments to their claims. In the first part, he notes that feminists object to the biblical and traditional name by which the Trinity is designated "Father, Son, and Holy Spirit” because it implies a male deity.</w:t>
      </w:r>
      <w:r w:rsidR="0081466C" w:rsidRPr="0081466C">
        <w:rPr>
          <w:rStyle w:val="FootnoteReference"/>
        </w:rPr>
        <w:t xml:space="preserve"> </w:t>
      </w:r>
      <w:r w:rsidR="0081466C">
        <w:rPr>
          <w:rStyle w:val="FootnoteReference"/>
        </w:rPr>
        <w:footnoteReference w:id="2"/>
      </w:r>
      <w:r>
        <w:rPr>
          <w:color w:val="0E101A"/>
        </w:rPr>
        <w:t> As feminist Mary Daly would say, “If God is male, the male is god."</w:t>
      </w:r>
      <w:r w:rsidR="0081466C" w:rsidRPr="0081466C">
        <w:rPr>
          <w:rStyle w:val="FootnoteReference"/>
        </w:rPr>
        <w:t xml:space="preserve"> </w:t>
      </w:r>
      <w:r w:rsidR="0081466C">
        <w:rPr>
          <w:rStyle w:val="FootnoteReference"/>
        </w:rPr>
        <w:footnoteReference w:id="3"/>
      </w:r>
      <w:r>
        <w:rPr>
          <w:color w:val="0E101A"/>
        </w:rPr>
        <w:t> To counter this argument, Wainwright argues that whatever the name Father means in connection with God, it does not imply masculinity.</w:t>
      </w:r>
      <w:r w:rsidR="0081466C" w:rsidRPr="0081466C">
        <w:rPr>
          <w:rStyle w:val="FootnoteReference"/>
        </w:rPr>
        <w:t xml:space="preserve"> </w:t>
      </w:r>
      <w:r w:rsidR="0081466C">
        <w:rPr>
          <w:rStyle w:val="FootnoteReference"/>
        </w:rPr>
        <w:footnoteReference w:id="4"/>
      </w:r>
    </w:p>
    <w:p w14:paraId="10CE36BB" w14:textId="5E507D02" w:rsidR="008C5973" w:rsidRDefault="008C5973" w:rsidP="0081466C">
      <w:pPr>
        <w:pStyle w:val="NormalWeb"/>
        <w:spacing w:before="0" w:beforeAutospacing="0" w:after="0" w:afterAutospacing="0" w:line="480" w:lineRule="auto"/>
        <w:ind w:firstLine="720"/>
        <w:rPr>
          <w:color w:val="0E101A"/>
        </w:rPr>
      </w:pPr>
      <w:r>
        <w:rPr>
          <w:color w:val="0E101A"/>
        </w:rPr>
        <w:t xml:space="preserve">The second part examines the deistic critique. Wainwright writes that the deistic position argues that since incarnation cannot be humanly explained, then it is misguided. Geoffrey </w:t>
      </w:r>
      <w:r>
        <w:rPr>
          <w:color w:val="0E101A"/>
        </w:rPr>
        <w:lastRenderedPageBreak/>
        <w:t>Wainwright, however, counters this assertion and writes, "To give the primacy to philosophy is to neglect the possibility that human reason may be inadequate, or even wrong.”</w:t>
      </w:r>
      <w:r w:rsidR="0081466C" w:rsidRPr="0081466C">
        <w:rPr>
          <w:rStyle w:val="FootnoteReference"/>
        </w:rPr>
        <w:t xml:space="preserve"> </w:t>
      </w:r>
      <w:r w:rsidR="0081466C">
        <w:rPr>
          <w:rStyle w:val="FootnoteReference"/>
        </w:rPr>
        <w:footnoteReference w:id="5"/>
      </w:r>
    </w:p>
    <w:p w14:paraId="52165742" w14:textId="27F45BB1" w:rsidR="008C5973" w:rsidRDefault="008C5973" w:rsidP="008127F0">
      <w:pPr>
        <w:pStyle w:val="NormalWeb"/>
        <w:spacing w:before="0" w:beforeAutospacing="0" w:after="0" w:afterAutospacing="0" w:line="480" w:lineRule="auto"/>
        <w:ind w:firstLine="720"/>
        <w:rPr>
          <w:color w:val="0E101A"/>
        </w:rPr>
      </w:pPr>
      <w:r>
        <w:rPr>
          <w:color w:val="0E101A"/>
        </w:rPr>
        <w:t>The third part examines the religionist position. The drivers of this critique are the Abrahamic faiths (Judaism and Islam) and Hinduism. For instance, the Jews struggle to comprehend the doctrine of the trinity because they are yet to accept Jesus as the Messiah.</w:t>
      </w:r>
      <w:r w:rsidR="0081466C" w:rsidRPr="0081466C">
        <w:rPr>
          <w:rStyle w:val="FootnoteReference"/>
        </w:rPr>
        <w:t xml:space="preserve"> </w:t>
      </w:r>
      <w:r w:rsidR="0081466C">
        <w:rPr>
          <w:rStyle w:val="FootnoteReference"/>
        </w:rPr>
        <w:footnoteReference w:id="6"/>
      </w:r>
      <w:r>
        <w:rPr>
          <w:color w:val="0E101A"/>
        </w:rPr>
        <w:t> For Muslims, their Quran negates the doctrine of the Trinity and incarnation. Surah 112 of the Quran explicitly states, “God is one, the indivisible God. He begets not, nor is he begotten. None is like him."</w:t>
      </w:r>
      <w:r w:rsidR="0081466C" w:rsidRPr="0081466C">
        <w:rPr>
          <w:rStyle w:val="FootnoteReference"/>
        </w:rPr>
        <w:t xml:space="preserve"> </w:t>
      </w:r>
      <w:r w:rsidR="0081466C">
        <w:rPr>
          <w:rStyle w:val="FootnoteReference"/>
        </w:rPr>
        <w:footnoteReference w:id="7"/>
      </w:r>
    </w:p>
    <w:p w14:paraId="3E1E6913" w14:textId="77777777" w:rsidR="008C5973" w:rsidRDefault="008C5973" w:rsidP="008127F0">
      <w:pPr>
        <w:pStyle w:val="NormalWeb"/>
        <w:spacing w:before="0" w:beforeAutospacing="0" w:after="0" w:afterAutospacing="0" w:line="480" w:lineRule="auto"/>
        <w:ind w:firstLine="720"/>
        <w:rPr>
          <w:color w:val="0E101A"/>
        </w:rPr>
      </w:pPr>
      <w:r>
        <w:rPr>
          <w:color w:val="0E101A"/>
        </w:rPr>
        <w:t>The fourth part suggests that the historical origins and early development of the doctrine of the Trinity raise the more formal theological issues of providence and tradition, or the understanding of God's guidance of the church. Wainwright concludes by posing a challenge to the critics of trinitarian doctrine to mention where the doctrine went wrong.</w:t>
      </w:r>
    </w:p>
    <w:p w14:paraId="2FB1DF89" w14:textId="77777777" w:rsidR="008C5973" w:rsidRPr="0081466C" w:rsidRDefault="008C5973" w:rsidP="0081466C">
      <w:pPr>
        <w:pStyle w:val="Heading1"/>
      </w:pPr>
      <w:r w:rsidRPr="0081466C">
        <w:t>Critical Interaction</w:t>
      </w:r>
    </w:p>
    <w:p w14:paraId="55D9583F" w14:textId="2515BE51" w:rsidR="008C5973" w:rsidRDefault="008C5973" w:rsidP="0081466C">
      <w:pPr>
        <w:pStyle w:val="NormalWeb"/>
        <w:spacing w:before="0" w:beforeAutospacing="0" w:after="0" w:afterAutospacing="0" w:line="480" w:lineRule="auto"/>
        <w:ind w:firstLine="720"/>
        <w:rPr>
          <w:color w:val="0E101A"/>
        </w:rPr>
      </w:pPr>
      <w:r>
        <w:rPr>
          <w:color w:val="0E101A"/>
        </w:rPr>
        <w:t xml:space="preserve">Geoffrey Wainwright has done a fantastic job in exploring three main criticisms of the doctrine of the Trinity. Throughout the article, using compelling evidence and thorough research, he demonstrates that though the trinitarian doctrine faces an assault, God is still providing for the church to weather the storms. Preachers and teachers will find this article commendable because of its friendly tone in answering those who have different perspectives on the doctrine. While some scholars such as his near-contemporary Elwell label feminists as “an essentially radical and revolutionary movement,” he labels them using gracious words such as </w:t>
      </w:r>
      <w:r>
        <w:rPr>
          <w:color w:val="0E101A"/>
        </w:rPr>
        <w:lastRenderedPageBreak/>
        <w:t>“revisionists.”</w:t>
      </w:r>
      <w:r w:rsidR="0081466C">
        <w:rPr>
          <w:rStyle w:val="FootnoteReference"/>
        </w:rPr>
        <w:footnoteReference w:id="8"/>
      </w:r>
      <w:r>
        <w:rPr>
          <w:color w:val="0E101A"/>
        </w:rPr>
        <w:t xml:space="preserve"> Wainwright does not see critics of the doctrine of the Trinity as wanting to make an overhaul of the doctrine but instead, </w:t>
      </w:r>
      <w:r w:rsidR="008127F0">
        <w:rPr>
          <w:color w:val="0E101A"/>
        </w:rPr>
        <w:t>as wanting</w:t>
      </w:r>
      <w:r>
        <w:rPr>
          <w:color w:val="0E101A"/>
        </w:rPr>
        <w:t xml:space="preserve"> to modify it. Wainwright respecting their stand, however, asserts that the doctrine cannot be made better. By God’s providence and tradition, it is the way it is. In part, he has successfully defended his thesis.</w:t>
      </w:r>
    </w:p>
    <w:p w14:paraId="0E1B3BB0" w14:textId="4351193C" w:rsidR="008C5973" w:rsidRDefault="008C5973" w:rsidP="0081466C">
      <w:pPr>
        <w:pStyle w:val="NormalWeb"/>
        <w:spacing w:before="0" w:beforeAutospacing="0" w:after="0" w:afterAutospacing="0" w:line="480" w:lineRule="auto"/>
        <w:ind w:firstLine="720"/>
        <w:rPr>
          <w:color w:val="0E101A"/>
        </w:rPr>
      </w:pPr>
      <w:r>
        <w:rPr>
          <w:color w:val="0E101A"/>
        </w:rPr>
        <w:t>Wainwright</w:t>
      </w:r>
      <w:r w:rsidR="0081466C">
        <w:rPr>
          <w:color w:val="0E101A"/>
        </w:rPr>
        <w:t>,</w:t>
      </w:r>
      <w:r>
        <w:rPr>
          <w:color w:val="0E101A"/>
        </w:rPr>
        <w:t xml:space="preserve"> nevertheless, fails to adequately articulate how the criticisms can stimulate revival in the church on the doctrine of the Trinity. If anything is to go by, much of what the critics of the doctrine present is not new. As such, it is doubtful that it can stir hearts to begin a serious probing of the doctrine of the Trinity. For instance, the current Islamic argument that “Islam would accept an interpretation of the Trinity which would not in any way compromise Divine Unity, one which would consider the persons of the Trinity to be 'Aspects' or 'Names' of God standing below His Essence which, being the Absolute, must be One without condition and above all relations," has always been there from the fourth century in the form of Sabellianism and Arianism.</w:t>
      </w:r>
      <w:r w:rsidR="0081466C">
        <w:rPr>
          <w:rStyle w:val="FootnoteReference"/>
        </w:rPr>
        <w:footnoteReference w:id="9"/>
      </w:r>
    </w:p>
    <w:p w14:paraId="45CD7766" w14:textId="77777777" w:rsidR="008C5973" w:rsidRDefault="008C5973" w:rsidP="0081466C">
      <w:pPr>
        <w:pStyle w:val="Heading1"/>
      </w:pPr>
      <w:r>
        <w:t>Conclusion</w:t>
      </w:r>
    </w:p>
    <w:p w14:paraId="1189480D" w14:textId="7CEB59B6" w:rsidR="00ED04CE" w:rsidRPr="0081466C" w:rsidRDefault="008C5973" w:rsidP="0081466C">
      <w:pPr>
        <w:pStyle w:val="NormalWeb"/>
        <w:spacing w:before="0" w:beforeAutospacing="0" w:after="0" w:afterAutospacing="0" w:line="480" w:lineRule="auto"/>
        <w:ind w:firstLine="720"/>
        <w:rPr>
          <w:color w:val="0E101A"/>
        </w:rPr>
      </w:pPr>
      <w:r>
        <w:rPr>
          <w:color w:val="0E101A"/>
        </w:rPr>
        <w:t>Wainwright's article focused on an essential tenet of the Christian faith. By examining extensively, the history and development of the doctrine of the trinity (in light of several criticisms), it demonstrates that a proper understanding or lack thereof of this doctrine determines whether the church would stand or fall. Nevertheless, the article fails to adequately show how all the criticisms would stimulate the church to a revival of the doctrine of the trinity as some of them are so old as to stir anything.</w:t>
      </w:r>
    </w:p>
    <w:p w14:paraId="45B08813" w14:textId="77777777" w:rsidR="00AA2F05" w:rsidRPr="00AA2F05" w:rsidRDefault="00A752F0" w:rsidP="0081466C">
      <w:pPr>
        <w:pStyle w:val="Heading1"/>
      </w:pPr>
      <w:bookmarkStart w:id="13" w:name="_Toc70186624"/>
      <w:r w:rsidRPr="00AA2F05">
        <w:lastRenderedPageBreak/>
        <w:t>Bibliography</w:t>
      </w:r>
      <w:bookmarkEnd w:id="13"/>
    </w:p>
    <w:p w14:paraId="3AA6B2CE" w14:textId="77777777" w:rsidR="00AA2F05" w:rsidRDefault="00AA2F05" w:rsidP="00AA2F05">
      <w:pPr>
        <w:spacing w:before="240" w:line="240" w:lineRule="auto"/>
        <w:ind w:left="720" w:hanging="720"/>
      </w:pPr>
      <w:r>
        <w:t xml:space="preserve">Daly, Mary. </w:t>
      </w:r>
      <w:r w:rsidRPr="00141FD0">
        <w:rPr>
          <w:i/>
          <w:iCs/>
        </w:rPr>
        <w:t>Beyond God the Father</w:t>
      </w:r>
      <w:r>
        <w:t>. Boston: Beacon Press, 1973.</w:t>
      </w:r>
    </w:p>
    <w:p w14:paraId="074950CD" w14:textId="77777777" w:rsidR="00AA2F05" w:rsidRDefault="00AA2F05" w:rsidP="00AA2F05">
      <w:pPr>
        <w:spacing w:before="240" w:line="240" w:lineRule="auto"/>
        <w:ind w:left="720" w:hanging="720"/>
      </w:pPr>
      <w:r w:rsidRPr="009724BA">
        <w:t>Hoggard-Creegan</w:t>
      </w:r>
      <w:r>
        <w:t>, N.,</w:t>
      </w:r>
      <w:r w:rsidRPr="009724BA">
        <w:t xml:space="preserve"> </w:t>
      </w:r>
      <w:r w:rsidRPr="00D83DF2">
        <w:rPr>
          <w:rFonts w:cs="Times New Roman"/>
          <w:szCs w:val="24"/>
        </w:rPr>
        <w:t>“</w:t>
      </w:r>
      <w:r>
        <w:rPr>
          <w:rFonts w:cs="Times New Roman"/>
          <w:szCs w:val="24"/>
        </w:rPr>
        <w:t>Feminist Theology</w:t>
      </w:r>
      <w:r w:rsidRPr="00D83DF2">
        <w:rPr>
          <w:rFonts w:cs="Times New Roman"/>
          <w:szCs w:val="24"/>
        </w:rPr>
        <w:t xml:space="preserve">.” In </w:t>
      </w:r>
      <w:r w:rsidRPr="00D83DF2">
        <w:rPr>
          <w:rFonts w:cs="Times New Roman"/>
          <w:i/>
          <w:iCs/>
          <w:szCs w:val="24"/>
        </w:rPr>
        <w:t>Evangelical Dictionary of Theology</w:t>
      </w:r>
      <w:r w:rsidRPr="00D83DF2">
        <w:rPr>
          <w:rFonts w:cs="Times New Roman"/>
          <w:szCs w:val="24"/>
        </w:rPr>
        <w:t>, edited by Walter Elwell</w:t>
      </w:r>
      <w:r>
        <w:rPr>
          <w:rFonts w:cs="Times New Roman"/>
          <w:szCs w:val="24"/>
        </w:rPr>
        <w:t xml:space="preserve">, 446-448. </w:t>
      </w:r>
      <w:r w:rsidRPr="00D83DF2">
        <w:rPr>
          <w:rFonts w:cs="Times New Roman"/>
          <w:szCs w:val="24"/>
        </w:rPr>
        <w:t xml:space="preserve">Grand Rapids: Baker Academic, </w:t>
      </w:r>
      <w:r>
        <w:rPr>
          <w:rFonts w:cs="Times New Roman"/>
          <w:szCs w:val="24"/>
        </w:rPr>
        <w:t>2</w:t>
      </w:r>
      <w:r w:rsidRPr="00D83DF2">
        <w:rPr>
          <w:rFonts w:cs="Times New Roman"/>
          <w:szCs w:val="24"/>
        </w:rPr>
        <w:t>017</w:t>
      </w:r>
      <w:r>
        <w:rPr>
          <w:rFonts w:cs="Times New Roman"/>
          <w:szCs w:val="24"/>
        </w:rPr>
        <w:t>.</w:t>
      </w:r>
    </w:p>
    <w:p w14:paraId="61F9A586" w14:textId="7EC67B66" w:rsidR="00AA2F05" w:rsidRPr="00AA2F05" w:rsidRDefault="00AA2F05" w:rsidP="00AA2F05">
      <w:pPr>
        <w:spacing w:before="240" w:line="240" w:lineRule="auto"/>
        <w:ind w:left="720" w:hanging="720"/>
      </w:pPr>
      <w:r>
        <w:t>Nasr, Seyyed Hossein. "The Islamic View of Christianity" I</w:t>
      </w:r>
      <w:r w:rsidRPr="00AA2F05">
        <w:t>n</w:t>
      </w:r>
      <w:r w:rsidRPr="0067755E">
        <w:rPr>
          <w:i/>
          <w:iCs/>
        </w:rPr>
        <w:t xml:space="preserve"> Christianity through Non-Ch</w:t>
      </w:r>
      <w:r>
        <w:rPr>
          <w:i/>
          <w:iCs/>
        </w:rPr>
        <w:t>ri</w:t>
      </w:r>
      <w:r w:rsidRPr="0067755E">
        <w:rPr>
          <w:i/>
          <w:iCs/>
        </w:rPr>
        <w:t>stian Eyes</w:t>
      </w:r>
      <w:r>
        <w:t>, edited by Paul J. Griffiths, 126-134. Maryknoll, NY: Orbis Books, 1990.</w:t>
      </w:r>
    </w:p>
    <w:p w14:paraId="42C40CA7" w14:textId="77777777" w:rsidR="00AA2F05" w:rsidRDefault="00AA2F05" w:rsidP="00AA2F05">
      <w:pPr>
        <w:shd w:val="clear" w:color="auto" w:fill="FFFFFF"/>
        <w:spacing w:before="240" w:after="24" w:line="240" w:lineRule="auto"/>
        <w:rPr>
          <w:rFonts w:cs="Times New Roman"/>
          <w:szCs w:val="24"/>
          <w:shd w:val="clear" w:color="auto" w:fill="FFFFFF"/>
        </w:rPr>
      </w:pPr>
      <w:r w:rsidRPr="00BB61EA">
        <w:rPr>
          <w:rStyle w:val="Emphasis"/>
          <w:rFonts w:cs="Times New Roman"/>
          <w:szCs w:val="24"/>
          <w:shd w:val="clear" w:color="auto" w:fill="FFFFFF"/>
        </w:rPr>
        <w:t>The Qur'an. </w:t>
      </w:r>
      <w:r w:rsidRPr="00BB61EA">
        <w:rPr>
          <w:rFonts w:cs="Times New Roman"/>
          <w:szCs w:val="24"/>
          <w:shd w:val="clear" w:color="auto" w:fill="FFFFFF"/>
        </w:rPr>
        <w:t>Trans. by M.A.S. Abdel Haleem, Oxford UP, 2005.</w:t>
      </w:r>
    </w:p>
    <w:p w14:paraId="317AF4C3" w14:textId="2E064CFB" w:rsidR="00AA2F05" w:rsidRPr="00AA2F05" w:rsidRDefault="00AA2F05" w:rsidP="00AA2F05">
      <w:pPr>
        <w:shd w:val="clear" w:color="auto" w:fill="FFFFFF"/>
        <w:spacing w:before="240" w:after="24" w:line="240" w:lineRule="auto"/>
        <w:ind w:left="720" w:hanging="720"/>
        <w:rPr>
          <w:rFonts w:cs="Times New Roman"/>
          <w:szCs w:val="24"/>
          <w:shd w:val="clear" w:color="auto" w:fill="FFFFFF"/>
        </w:rPr>
      </w:pPr>
      <w:r w:rsidRPr="000C07B5">
        <w:t>Wainwright, Geoffrey. “The Doctrine of the Trinity: Where the Church Stands or Falls.” Interpretation 45, no. 2 (1991): 117–132.</w:t>
      </w:r>
    </w:p>
    <w:p w14:paraId="44FC02DF" w14:textId="294A8D29" w:rsidR="00FB6365" w:rsidRDefault="00FB6365" w:rsidP="00AA2F05">
      <w:pPr>
        <w:spacing w:line="240" w:lineRule="auto"/>
        <w:ind w:left="720" w:hanging="720"/>
      </w:pPr>
    </w:p>
    <w:sectPr w:rsidR="00FB6365"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60D45" w14:textId="77777777" w:rsidR="00A01975" w:rsidRDefault="00A01975" w:rsidP="00DF7AA0">
      <w:pPr>
        <w:spacing w:line="240" w:lineRule="auto"/>
      </w:pPr>
      <w:r>
        <w:separator/>
      </w:r>
    </w:p>
  </w:endnote>
  <w:endnote w:type="continuationSeparator" w:id="0">
    <w:p w14:paraId="671039CE" w14:textId="77777777" w:rsidR="00A01975" w:rsidRDefault="00A01975"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0E098F" w:rsidRDefault="000E098F">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0E098F" w:rsidRDefault="000E09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0E098F" w:rsidRPr="000270DC" w:rsidRDefault="000E098F"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0E098F" w:rsidRPr="004B3ACC" w:rsidRDefault="000E098F"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0E098F" w:rsidRDefault="000E098F"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0E098F" w:rsidRDefault="00A01975"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BAB40" w14:textId="77777777" w:rsidR="00A01975" w:rsidRDefault="00A01975" w:rsidP="00DF7AA0">
      <w:pPr>
        <w:spacing w:line="240" w:lineRule="auto"/>
      </w:pPr>
      <w:r>
        <w:separator/>
      </w:r>
    </w:p>
  </w:footnote>
  <w:footnote w:type="continuationSeparator" w:id="0">
    <w:p w14:paraId="26BCE3DD" w14:textId="77777777" w:rsidR="00A01975" w:rsidRDefault="00A01975" w:rsidP="00DF7AA0">
      <w:pPr>
        <w:spacing w:line="240" w:lineRule="auto"/>
      </w:pPr>
      <w:r>
        <w:continuationSeparator/>
      </w:r>
    </w:p>
  </w:footnote>
  <w:footnote w:id="1">
    <w:p w14:paraId="7E62FE43" w14:textId="77777777" w:rsidR="0081466C" w:rsidRDefault="0081466C" w:rsidP="0081466C">
      <w:pPr>
        <w:pStyle w:val="FootnoteText"/>
      </w:pPr>
      <w:r>
        <w:rPr>
          <w:rStyle w:val="FootnoteReference"/>
        </w:rPr>
        <w:footnoteRef/>
      </w:r>
      <w:r>
        <w:t xml:space="preserve"> </w:t>
      </w:r>
      <w:r w:rsidRPr="000C07B5">
        <w:t>Geoffrey</w:t>
      </w:r>
      <w:r>
        <w:t xml:space="preserve"> </w:t>
      </w:r>
      <w:r w:rsidRPr="000C07B5">
        <w:t xml:space="preserve">Wainwright, “The Doctrine of the Trinity: Where the Church Stands or Falls.” </w:t>
      </w:r>
      <w:r w:rsidRPr="00141FD0">
        <w:rPr>
          <w:i/>
          <w:iCs/>
        </w:rPr>
        <w:t xml:space="preserve">Interpretation </w:t>
      </w:r>
      <w:r w:rsidRPr="000C07B5">
        <w:t>45, no. 2 (1991)</w:t>
      </w:r>
      <w:r>
        <w:t>, 117</w:t>
      </w:r>
    </w:p>
  </w:footnote>
  <w:footnote w:id="2">
    <w:p w14:paraId="7FD5AC14" w14:textId="77777777" w:rsidR="0081466C" w:rsidRDefault="0081466C" w:rsidP="0081466C">
      <w:pPr>
        <w:pStyle w:val="FootnoteText"/>
      </w:pPr>
      <w:r>
        <w:rPr>
          <w:rStyle w:val="FootnoteReference"/>
        </w:rPr>
        <w:footnoteRef/>
      </w:r>
      <w:r>
        <w:t xml:space="preserve"> Ibid., 118.</w:t>
      </w:r>
    </w:p>
  </w:footnote>
  <w:footnote w:id="3">
    <w:p w14:paraId="56CD02B1" w14:textId="77777777" w:rsidR="0081466C" w:rsidRDefault="0081466C" w:rsidP="0081466C">
      <w:pPr>
        <w:pStyle w:val="FootnoteText"/>
      </w:pPr>
      <w:r>
        <w:rPr>
          <w:rStyle w:val="FootnoteReference"/>
        </w:rPr>
        <w:footnoteRef/>
      </w:r>
      <w:r>
        <w:t xml:space="preserve"> Mary Daly, </w:t>
      </w:r>
      <w:r w:rsidRPr="00141FD0">
        <w:rPr>
          <w:i/>
          <w:iCs/>
        </w:rPr>
        <w:t>Beyond God the Father</w:t>
      </w:r>
      <w:r>
        <w:t xml:space="preserve"> (Boston: Beacon Press, 1973), p. 19.</w:t>
      </w:r>
    </w:p>
  </w:footnote>
  <w:footnote w:id="4">
    <w:p w14:paraId="4A0F5F29" w14:textId="77777777" w:rsidR="0081466C" w:rsidRDefault="0081466C" w:rsidP="0081466C">
      <w:pPr>
        <w:pStyle w:val="FootnoteText"/>
      </w:pPr>
      <w:r>
        <w:rPr>
          <w:rStyle w:val="FootnoteReference"/>
        </w:rPr>
        <w:footnoteRef/>
      </w:r>
      <w:r>
        <w:t xml:space="preserve"> Wainwright, </w:t>
      </w:r>
      <w:r w:rsidRPr="00E542A1">
        <w:rPr>
          <w:i/>
          <w:iCs/>
        </w:rPr>
        <w:t>The Doctrine of the Trinity</w:t>
      </w:r>
      <w:r>
        <w:t>, 119.</w:t>
      </w:r>
    </w:p>
  </w:footnote>
  <w:footnote w:id="5">
    <w:p w14:paraId="1CF5850E" w14:textId="77777777" w:rsidR="0081466C" w:rsidRDefault="0081466C" w:rsidP="0081466C">
      <w:pPr>
        <w:pStyle w:val="FootnoteText"/>
      </w:pPr>
      <w:r>
        <w:rPr>
          <w:rStyle w:val="FootnoteReference"/>
        </w:rPr>
        <w:footnoteRef/>
      </w:r>
      <w:r>
        <w:t xml:space="preserve">Wainwright, </w:t>
      </w:r>
      <w:r w:rsidRPr="00E542A1">
        <w:rPr>
          <w:i/>
          <w:iCs/>
        </w:rPr>
        <w:t>The Doctrine of the Trinity</w:t>
      </w:r>
      <w:r>
        <w:t>, 125.</w:t>
      </w:r>
    </w:p>
  </w:footnote>
  <w:footnote w:id="6">
    <w:p w14:paraId="5E6F0F3E" w14:textId="77777777" w:rsidR="0081466C" w:rsidRDefault="0081466C" w:rsidP="0081466C">
      <w:pPr>
        <w:pStyle w:val="FootnoteText"/>
      </w:pPr>
      <w:r>
        <w:rPr>
          <w:rStyle w:val="FootnoteReference"/>
        </w:rPr>
        <w:footnoteRef/>
      </w:r>
      <w:r>
        <w:t xml:space="preserve"> Ibid., 127.</w:t>
      </w:r>
    </w:p>
  </w:footnote>
  <w:footnote w:id="7">
    <w:p w14:paraId="061F7170" w14:textId="77777777" w:rsidR="0081466C" w:rsidRPr="00BB61EA" w:rsidRDefault="0081466C" w:rsidP="0081466C">
      <w:pPr>
        <w:shd w:val="clear" w:color="auto" w:fill="FFFFFF"/>
        <w:spacing w:before="100" w:beforeAutospacing="1" w:after="24" w:line="240" w:lineRule="auto"/>
        <w:ind w:left="720" w:hanging="720"/>
        <w:rPr>
          <w:rFonts w:cs="Times New Roman"/>
          <w:szCs w:val="24"/>
          <w:shd w:val="clear" w:color="auto" w:fill="FCFCFC"/>
        </w:rPr>
      </w:pPr>
      <w:r>
        <w:rPr>
          <w:rStyle w:val="FootnoteReference"/>
        </w:rPr>
        <w:footnoteRef/>
      </w:r>
      <w:r>
        <w:t xml:space="preserve"> </w:t>
      </w:r>
      <w:r w:rsidRPr="00BB61EA">
        <w:rPr>
          <w:rStyle w:val="Emphasis"/>
          <w:rFonts w:cs="Times New Roman"/>
          <w:szCs w:val="24"/>
          <w:shd w:val="clear" w:color="auto" w:fill="FFFFFF"/>
        </w:rPr>
        <w:t>The Qur'an. </w:t>
      </w:r>
      <w:r w:rsidRPr="00BB61EA">
        <w:rPr>
          <w:rFonts w:cs="Times New Roman"/>
          <w:szCs w:val="24"/>
          <w:shd w:val="clear" w:color="auto" w:fill="FFFFFF"/>
        </w:rPr>
        <w:t>Trans. by M.A.S. Abdel Haleem</w:t>
      </w:r>
      <w:r>
        <w:rPr>
          <w:rFonts w:cs="Times New Roman"/>
          <w:szCs w:val="24"/>
          <w:shd w:val="clear" w:color="auto" w:fill="FFFFFF"/>
        </w:rPr>
        <w:t xml:space="preserve"> (</w:t>
      </w:r>
      <w:r w:rsidRPr="00BB61EA">
        <w:rPr>
          <w:rFonts w:cs="Times New Roman"/>
          <w:szCs w:val="24"/>
          <w:shd w:val="clear" w:color="auto" w:fill="FFFFFF"/>
        </w:rPr>
        <w:t>Oxford UP, 2005</w:t>
      </w:r>
      <w:r>
        <w:rPr>
          <w:rFonts w:cs="Times New Roman"/>
          <w:szCs w:val="24"/>
          <w:shd w:val="clear" w:color="auto" w:fill="FFFFFF"/>
        </w:rPr>
        <w:t>)</w:t>
      </w:r>
      <w:r w:rsidRPr="00BB61EA">
        <w:rPr>
          <w:rFonts w:cs="Times New Roman"/>
          <w:szCs w:val="24"/>
          <w:shd w:val="clear" w:color="auto" w:fill="FFFFFF"/>
        </w:rPr>
        <w:t>.</w:t>
      </w:r>
    </w:p>
    <w:p w14:paraId="7F4F88A3" w14:textId="77777777" w:rsidR="0081466C" w:rsidRDefault="0081466C" w:rsidP="0081466C">
      <w:pPr>
        <w:pStyle w:val="FootnoteText"/>
      </w:pPr>
    </w:p>
  </w:footnote>
  <w:footnote w:id="8">
    <w:p w14:paraId="077DB0A4" w14:textId="77777777" w:rsidR="0081466C" w:rsidRDefault="0081466C" w:rsidP="0081466C">
      <w:pPr>
        <w:pStyle w:val="FootnoteText"/>
      </w:pPr>
      <w:r>
        <w:rPr>
          <w:rStyle w:val="FootnoteReference"/>
        </w:rPr>
        <w:footnoteRef/>
      </w:r>
      <w:r>
        <w:t xml:space="preserve"> See </w:t>
      </w:r>
      <w:r w:rsidRPr="009724BA">
        <w:t>N. Hoggard-Creegan</w:t>
      </w:r>
      <w:r>
        <w:t>,</w:t>
      </w:r>
      <w:r w:rsidRPr="009724BA">
        <w:t xml:space="preserve"> </w:t>
      </w:r>
      <w:r w:rsidRPr="00D83DF2">
        <w:rPr>
          <w:rFonts w:cs="Times New Roman"/>
          <w:sz w:val="24"/>
          <w:szCs w:val="24"/>
        </w:rPr>
        <w:t>“</w:t>
      </w:r>
      <w:r>
        <w:rPr>
          <w:rFonts w:cs="Times New Roman"/>
          <w:sz w:val="24"/>
          <w:szCs w:val="24"/>
        </w:rPr>
        <w:t>Feminist Theology</w:t>
      </w:r>
      <w:r w:rsidRPr="00D83DF2">
        <w:rPr>
          <w:rFonts w:cs="Times New Roman"/>
          <w:sz w:val="24"/>
          <w:szCs w:val="24"/>
        </w:rPr>
        <w:t xml:space="preserve">.” In </w:t>
      </w:r>
      <w:r w:rsidRPr="00D83DF2">
        <w:rPr>
          <w:rFonts w:cs="Times New Roman"/>
          <w:i/>
          <w:iCs/>
          <w:sz w:val="24"/>
          <w:szCs w:val="24"/>
        </w:rPr>
        <w:t>Evangelical Dictionary of Theology</w:t>
      </w:r>
      <w:r w:rsidRPr="00D83DF2">
        <w:rPr>
          <w:rFonts w:cs="Times New Roman"/>
          <w:sz w:val="24"/>
          <w:szCs w:val="24"/>
        </w:rPr>
        <w:t>, edited by Walter Elwell</w:t>
      </w:r>
      <w:r>
        <w:rPr>
          <w:rFonts w:cs="Times New Roman"/>
          <w:sz w:val="24"/>
          <w:szCs w:val="24"/>
        </w:rPr>
        <w:t xml:space="preserve"> (</w:t>
      </w:r>
      <w:r w:rsidRPr="00D83DF2">
        <w:rPr>
          <w:rFonts w:cs="Times New Roman"/>
          <w:sz w:val="24"/>
          <w:szCs w:val="24"/>
        </w:rPr>
        <w:t>Grand Rapids: Baker Academic, 2017</w:t>
      </w:r>
      <w:r>
        <w:rPr>
          <w:rFonts w:cs="Times New Roman"/>
          <w:sz w:val="24"/>
          <w:szCs w:val="24"/>
        </w:rPr>
        <w:t>):</w:t>
      </w:r>
      <w:r w:rsidRPr="009724BA">
        <w:rPr>
          <w:rFonts w:cs="Times New Roman"/>
          <w:sz w:val="24"/>
          <w:szCs w:val="24"/>
        </w:rPr>
        <w:t xml:space="preserve"> </w:t>
      </w:r>
      <w:r>
        <w:rPr>
          <w:rFonts w:cs="Times New Roman"/>
          <w:sz w:val="24"/>
          <w:szCs w:val="24"/>
        </w:rPr>
        <w:t xml:space="preserve">447 and </w:t>
      </w:r>
      <w:r>
        <w:t xml:space="preserve">Wainwright, </w:t>
      </w:r>
      <w:r w:rsidRPr="00E542A1">
        <w:rPr>
          <w:i/>
          <w:iCs/>
        </w:rPr>
        <w:t>The Doctrine of the Trinity</w:t>
      </w:r>
      <w:r>
        <w:t>, 117-132.</w:t>
      </w:r>
    </w:p>
  </w:footnote>
  <w:footnote w:id="9">
    <w:p w14:paraId="292188D8" w14:textId="77777777" w:rsidR="0081466C" w:rsidRDefault="0081466C" w:rsidP="0081466C">
      <w:pPr>
        <w:pStyle w:val="FootnoteText"/>
      </w:pPr>
      <w:r>
        <w:rPr>
          <w:rStyle w:val="FootnoteReference"/>
        </w:rPr>
        <w:footnoteRef/>
      </w:r>
      <w:r>
        <w:t xml:space="preserve"> Seyyed Hossein Nasr, "The Islamic View of Christianity" </w:t>
      </w:r>
      <w:r w:rsidRPr="0067755E">
        <w:rPr>
          <w:i/>
          <w:iCs/>
        </w:rPr>
        <w:t>in Christianity through Non-Ch</w:t>
      </w:r>
      <w:r>
        <w:rPr>
          <w:i/>
          <w:iCs/>
        </w:rPr>
        <w:t>ri</w:t>
      </w:r>
      <w:r w:rsidRPr="0067755E">
        <w:rPr>
          <w:i/>
          <w:iCs/>
        </w:rPr>
        <w:t>stian Eyes</w:t>
      </w:r>
      <w:r>
        <w:t>, ed. Paul J. Griffiths (Maryknoll, NY: Orbis Books, 1990), 127.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0E098F" w:rsidRDefault="000E098F" w:rsidP="00A36B5C">
    <w:pPr>
      <w:pStyle w:val="Header"/>
    </w:pPr>
  </w:p>
  <w:p w14:paraId="20D2F014" w14:textId="77777777" w:rsidR="000E098F" w:rsidRDefault="000E0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0E098F" w:rsidRDefault="000E098F">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0E098F" w:rsidRPr="00DA0F88" w:rsidRDefault="000E098F"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41EE8"/>
    <w:rsid w:val="000C07B5"/>
    <w:rsid w:val="000C43F7"/>
    <w:rsid w:val="000D40F0"/>
    <w:rsid w:val="000D43F7"/>
    <w:rsid w:val="000E098F"/>
    <w:rsid w:val="000E6190"/>
    <w:rsid w:val="00106286"/>
    <w:rsid w:val="00114B0E"/>
    <w:rsid w:val="0012651A"/>
    <w:rsid w:val="00134BCC"/>
    <w:rsid w:val="00141FD0"/>
    <w:rsid w:val="001517D4"/>
    <w:rsid w:val="0016543D"/>
    <w:rsid w:val="00174C31"/>
    <w:rsid w:val="001918B7"/>
    <w:rsid w:val="002555F0"/>
    <w:rsid w:val="002A6EBA"/>
    <w:rsid w:val="002B7C8F"/>
    <w:rsid w:val="002E7BBD"/>
    <w:rsid w:val="0030455F"/>
    <w:rsid w:val="003058DA"/>
    <w:rsid w:val="003134DA"/>
    <w:rsid w:val="00354742"/>
    <w:rsid w:val="00372CD7"/>
    <w:rsid w:val="00397061"/>
    <w:rsid w:val="003E7560"/>
    <w:rsid w:val="003F6E92"/>
    <w:rsid w:val="00404BF1"/>
    <w:rsid w:val="00432FB1"/>
    <w:rsid w:val="00495180"/>
    <w:rsid w:val="005003A0"/>
    <w:rsid w:val="005210E3"/>
    <w:rsid w:val="00537FC3"/>
    <w:rsid w:val="005449C8"/>
    <w:rsid w:val="005567DD"/>
    <w:rsid w:val="0056155C"/>
    <w:rsid w:val="00574CD1"/>
    <w:rsid w:val="0057583B"/>
    <w:rsid w:val="00585922"/>
    <w:rsid w:val="005D1469"/>
    <w:rsid w:val="005E7F5F"/>
    <w:rsid w:val="006533B6"/>
    <w:rsid w:val="0067755E"/>
    <w:rsid w:val="00684DC2"/>
    <w:rsid w:val="00690AD8"/>
    <w:rsid w:val="00691463"/>
    <w:rsid w:val="00697056"/>
    <w:rsid w:val="00726F36"/>
    <w:rsid w:val="00752D1D"/>
    <w:rsid w:val="0078716D"/>
    <w:rsid w:val="00795716"/>
    <w:rsid w:val="007C4DDC"/>
    <w:rsid w:val="007E71EC"/>
    <w:rsid w:val="00805553"/>
    <w:rsid w:val="008127F0"/>
    <w:rsid w:val="0081466C"/>
    <w:rsid w:val="00823597"/>
    <w:rsid w:val="00831066"/>
    <w:rsid w:val="00847FEF"/>
    <w:rsid w:val="00855F8A"/>
    <w:rsid w:val="00861DD8"/>
    <w:rsid w:val="00890311"/>
    <w:rsid w:val="008943EB"/>
    <w:rsid w:val="008C2BA5"/>
    <w:rsid w:val="008C5973"/>
    <w:rsid w:val="008D7BAB"/>
    <w:rsid w:val="009131E7"/>
    <w:rsid w:val="00934FC4"/>
    <w:rsid w:val="009724BA"/>
    <w:rsid w:val="009C136E"/>
    <w:rsid w:val="009E46B4"/>
    <w:rsid w:val="00A01975"/>
    <w:rsid w:val="00A07CBC"/>
    <w:rsid w:val="00A14E0E"/>
    <w:rsid w:val="00A26A93"/>
    <w:rsid w:val="00A3536F"/>
    <w:rsid w:val="00A36B5C"/>
    <w:rsid w:val="00A43B4D"/>
    <w:rsid w:val="00A70889"/>
    <w:rsid w:val="00A752F0"/>
    <w:rsid w:val="00A874DD"/>
    <w:rsid w:val="00A9662F"/>
    <w:rsid w:val="00AA2F05"/>
    <w:rsid w:val="00AA5717"/>
    <w:rsid w:val="00AE1A54"/>
    <w:rsid w:val="00AE1E2E"/>
    <w:rsid w:val="00AF315F"/>
    <w:rsid w:val="00AF3CDD"/>
    <w:rsid w:val="00B334E6"/>
    <w:rsid w:val="00B34C91"/>
    <w:rsid w:val="00B430FC"/>
    <w:rsid w:val="00B471FF"/>
    <w:rsid w:val="00BB06A1"/>
    <w:rsid w:val="00BC587A"/>
    <w:rsid w:val="00BD3467"/>
    <w:rsid w:val="00BF09C1"/>
    <w:rsid w:val="00BF7136"/>
    <w:rsid w:val="00C05F96"/>
    <w:rsid w:val="00C559C7"/>
    <w:rsid w:val="00C6173E"/>
    <w:rsid w:val="00C75AB6"/>
    <w:rsid w:val="00CD23D8"/>
    <w:rsid w:val="00CE19FA"/>
    <w:rsid w:val="00CE489C"/>
    <w:rsid w:val="00D072C2"/>
    <w:rsid w:val="00D168D5"/>
    <w:rsid w:val="00D864EB"/>
    <w:rsid w:val="00DB45AF"/>
    <w:rsid w:val="00DD3C5A"/>
    <w:rsid w:val="00DF7AA0"/>
    <w:rsid w:val="00E00DDC"/>
    <w:rsid w:val="00E01FA2"/>
    <w:rsid w:val="00E33F9B"/>
    <w:rsid w:val="00E542A1"/>
    <w:rsid w:val="00E63410"/>
    <w:rsid w:val="00E6776E"/>
    <w:rsid w:val="00E727B5"/>
    <w:rsid w:val="00ED04CE"/>
    <w:rsid w:val="00ED27B4"/>
    <w:rsid w:val="00F228DC"/>
    <w:rsid w:val="00F630B3"/>
    <w:rsid w:val="00F648BA"/>
    <w:rsid w:val="00F7620D"/>
    <w:rsid w:val="00F94E20"/>
    <w:rsid w:val="00FB6365"/>
    <w:rsid w:val="00FF1C17"/>
    <w:rsid w:val="00FF4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1EBFF15C-DC6A-4527-897A-54AC0FC9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81466C"/>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66C"/>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6914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247521">
      <w:bodyDiv w:val="1"/>
      <w:marLeft w:val="0"/>
      <w:marRight w:val="0"/>
      <w:marTop w:val="0"/>
      <w:marBottom w:val="0"/>
      <w:divBdr>
        <w:top w:val="none" w:sz="0" w:space="0" w:color="auto"/>
        <w:left w:val="none" w:sz="0" w:space="0" w:color="auto"/>
        <w:bottom w:val="none" w:sz="0" w:space="0" w:color="auto"/>
        <w:right w:val="none" w:sz="0" w:space="0" w:color="auto"/>
      </w:divBdr>
    </w:div>
    <w:div w:id="309792067">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64016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1552</TotalTime>
  <Pages>6</Pages>
  <Words>964</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14</cp:revision>
  <dcterms:created xsi:type="dcterms:W3CDTF">2021-04-19T10:24:00Z</dcterms:created>
  <dcterms:modified xsi:type="dcterms:W3CDTF">2021-04-25T16:56:00Z</dcterms:modified>
</cp:coreProperties>
</file>